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The Upgrade with Makai Elías Calles - Reading on Paper Rewires Your Brain</w:t>
      </w:r>
    </w:p>
    <w:p>
      <w:r>
        <w:rPr>
          <w:b/>
        </w:rPr>
        <w:t xml:space="preserve">Source: </w:t>
      </w:r>
      <w:r>
        <w:t>https://youtu.be/SEu0tx1_Zwk</w:t>
      </w:r>
    </w:p>
    <w:p>
      <w:r>
        <w:rPr>
          <w:b/>
        </w:rPr>
        <w:t xml:space="preserve">Date: </w:t>
      </w:r>
      <w:r>
        <w:t>2026-01-29</w:t>
      </w:r>
    </w:p>
    <w:p>
      <w:r>
        <w:rPr>
          <w:b/>
        </w:rPr>
        <w:t xml:space="preserve">Prompt: </w:t>
      </w:r>
      <w:r>
        <w:t>extract_knowledge.md</w:t>
      </w:r>
    </w:p>
    <w:p>
      <w:r>
        <w:rPr>
          <w:b/>
        </w:rPr>
        <w:t xml:space="preserve">Model: </w:t>
      </w:r>
      <w:r>
        <w:t>openai/gpt-5.6-sol</w:t>
      </w:r>
    </w:p>
    <w:p>
      <w:r>
        <w:t>---</w:t>
      </w:r>
    </w:p>
    <w:p>
      <w:pPr>
        <w:pStyle w:val="Heading2"/>
        <w:spacing w:before="280" w:after="120"/>
      </w:pPr>
      <w:r>
        <w:t>One-Sentence Takeaway</w:t>
      </w:r>
      <w:r/>
    </w:p>
    <w:p>
      <w:r/>
      <w:r>
        <w:t>For complex material that must be understood and remembered, the source argues that paper generally outperforms screens because physical pages support deeper attention, spatial orientation, review, and memory.</w:t>
      </w:r>
      <w:r/>
    </w:p>
    <w:p>
      <w:pPr>
        <w:pStyle w:val="Heading2"/>
        <w:spacing w:before="280" w:after="120"/>
      </w:pPr>
      <w:r>
        <w:t>Executive Brief</w:t>
      </w:r>
      <w:r/>
    </w:p>
    <w:p>
      <w:r/>
      <w:r>
        <w:t>The source presents a broad case that reading medium affects comprehension rather than merely changing convenience.</w:t>
      </w:r>
      <w:r/>
      <w:r/>
    </w:p>
    <w:p>
      <w:pPr>
        <w:pStyle w:val="ListBullet"/>
        <w:spacing w:line="276" w:lineRule="auto" w:before="40" w:after="80"/>
        <w:ind w:left="720" w:hanging="360"/>
      </w:pPr>
      <w:r/>
      <w:r>
        <w:t>Across the studies described, people reading on paper generally understood and remembered more than people reading the same material digitally, with the advantage increasing for difficult texts.</w:t>
      </w:r>
      <w:r/>
    </w:p>
    <w:p>
      <w:pPr>
        <w:pStyle w:val="ListBullet"/>
        <w:spacing w:line="276" w:lineRule="auto" w:before="40" w:after="80"/>
        <w:ind w:left="720" w:hanging="360"/>
      </w:pPr>
      <w:r/>
      <w:r>
        <w:t>A cited 2024 meta-analysis of 49 studies reportedly found that print readers outperformed digital readers across ages ranging from elementary school through college.</w:t>
      </w:r>
      <w:r/>
    </w:p>
    <w:p>
      <w:pPr>
        <w:pStyle w:val="ListBullet"/>
        <w:spacing w:line="276" w:lineRule="auto" w:before="40" w:after="80"/>
        <w:ind w:left="720" w:hanging="360"/>
      </w:pPr>
      <w:r/>
      <w:r>
        <w:t>The proposed mechanisms are higher cognitive load on screens, loss of physical and spatial memory cues, and digital habits that encourage linear scanning rather than careful rereading.</w:t>
      </w:r>
      <w:r/>
    </w:p>
    <w:p>
      <w:pPr>
        <w:pStyle w:val="ListBullet"/>
        <w:spacing w:line="276" w:lineRule="auto" w:before="40" w:after="80"/>
        <w:ind w:left="720" w:hanging="360"/>
      </w:pPr>
      <w:r/>
      <w:r>
        <w:t>Eye-tracking research is said to show that print readers skim for structure and revisit difficult passages, while tablet readers move more linearly through a text.</w:t>
      </w:r>
      <w:r/>
    </w:p>
    <w:p>
      <w:pPr>
        <w:pStyle w:val="ListBullet"/>
        <w:spacing w:line="276" w:lineRule="auto" w:before="40" w:after="80"/>
        <w:ind w:left="720" w:hanging="360"/>
      </w:pPr>
      <w:r/>
      <w:r>
        <w:t>The source reports that digital readers often feel more confident despite scoring worse, creating an “illusion of comprehension.”</w:t>
      </w:r>
      <w:r/>
    </w:p>
    <w:p>
      <w:pPr>
        <w:pStyle w:val="ListBullet"/>
        <w:spacing w:line="276" w:lineRule="auto" w:before="40" w:after="80"/>
        <w:ind w:left="720" w:hanging="360"/>
      </w:pPr>
      <w:r/>
      <w:r>
        <w:t>It presents physical books and interactive print storytime as especially important for children’s language, attention, and cognitive development.</w:t>
      </w:r>
      <w:r/>
    </w:p>
    <w:p>
      <w:pPr>
        <w:pStyle w:val="ListBullet"/>
        <w:spacing w:line="276" w:lineRule="auto" w:before="40" w:after="80"/>
        <w:ind w:left="720" w:hanging="360"/>
      </w:pPr>
      <w:r/>
      <w:r>
        <w:t>The conclusion is not to abandon screens: use them for searching, reference, and quick scanning, but prefer paper when material is complex, consequential, or needs to stick.</w:t>
      </w:r>
      <w:r/>
      <w:r/>
    </w:p>
    <w:p>
      <w:pPr>
        <w:pStyle w:val="Heading2"/>
        <w:spacing w:before="280" w:after="120"/>
      </w:pPr>
      <w:r>
        <w:t>Core Argument</w:t>
      </w:r>
      <w:r/>
    </w:p>
    <w:p>
      <w:r/>
      <w:r>
        <w:rPr>
          <w:b/>
        </w:rPr>
        <w:t>Central thesis or narrative:</w:t>
      </w:r>
      <w:r>
        <w:t xml:space="preserve"> The source argues that paper and screens prompt meaningfully different reading behaviors and cognitive states, even when they display identical words. Physical books supposedly foster deeper comprehension by providing spatial and sensory anchors, reducing competing demands, and encouraging active review; screens remain useful when speed and convenience matter more than durable learning.</w:t>
      </w:r>
      <w:r/>
    </w:p>
    <w:p>
      <w:r/>
      <w:r>
        <w:rPr>
          <w:b/>
        </w:rPr>
        <w:t>Reasoning, evidence &amp; mechanisms</w:t>
      </w:r>
      <w:r/>
      <w:r/>
    </w:p>
    <w:p>
      <w:pPr>
        <w:pStyle w:val="ListBullet"/>
        <w:spacing w:line="276" w:lineRule="auto" w:before="40" w:after="80"/>
        <w:ind w:left="720" w:hanging="360"/>
      </w:pPr>
      <w:r/>
      <w:r>
        <w:rPr>
          <w:b/>
        </w:rPr>
        <w:t>The medium shapes navigation.</w:t>
      </w:r>
      <w:r>
        <w:t xml:space="preserve"> A physical book exposes the reader to a stable landscape—page position, thickness, visible progress, and nearby passages. The source says these landmarks help readers form a mental map, locate ideas, and return to difficult sections.</w:t>
      </w:r>
      <w:r/>
    </w:p>
    <w:p>
      <w:pPr>
        <w:pStyle w:val="ListBullet"/>
        <w:spacing w:line="276" w:lineRule="auto" w:before="40" w:after="80"/>
        <w:ind w:left="720" w:hanging="360"/>
      </w:pPr>
      <w:r/>
      <w:r>
        <w:rPr>
          <w:b/>
        </w:rPr>
        <w:t>Eye movements differ even when reading time is equal.</w:t>
      </w:r>
      <w:r>
        <w:t xml:space="preserve"> In a study of 50 university students reading the same science article, print readers reportedly surveyed the text and looped back, while tablet readers proceeded mainly in one direction. The print group subsequently scored 24% higher on comprehension.</w:t>
      </w:r>
      <w:r/>
    </w:p>
    <w:p>
      <w:pPr>
        <w:pStyle w:val="ListBullet"/>
        <w:spacing w:line="276" w:lineRule="auto" w:before="40" w:after="80"/>
        <w:ind w:left="720" w:hanging="360"/>
      </w:pPr>
      <w:r/>
      <w:r>
        <w:rPr>
          <w:b/>
        </w:rPr>
        <w:t>Screens impose additional cognitive demands.</w:t>
      </w:r>
      <w:r>
        <w:t xml:space="preserve"> Readers must manage scrolling and location while potentially resisting notifications or other digital cues. The source argues that these demands consume limited working memory that could otherwise support comprehension.</w:t>
      </w:r>
      <w:r/>
    </w:p>
    <w:p>
      <w:pPr>
        <w:pStyle w:val="ListBullet"/>
        <w:spacing w:line="276" w:lineRule="auto" w:before="40" w:after="80"/>
        <w:ind w:left="720" w:hanging="360"/>
      </w:pPr>
      <w:r/>
      <w:r>
        <w:rPr>
          <w:b/>
        </w:rPr>
        <w:t>Physical interaction may aid encoding.</w:t>
      </w:r>
      <w:r>
        <w:t xml:space="preserve"> Page weight, texture, position, and movement provide multiple cues to which memories can attach—an account the source calls “embodied reading.”</w:t>
      </w:r>
      <w:r/>
    </w:p>
    <w:p>
      <w:pPr>
        <w:pStyle w:val="ListBullet"/>
        <w:spacing w:line="276" w:lineRule="auto" w:before="40" w:after="80"/>
        <w:ind w:left="720" w:hanging="360"/>
      </w:pPr>
      <w:r/>
      <w:r>
        <w:rPr>
          <w:b/>
        </w:rPr>
        <w:t>Digital culture carries a “shallowing effect.”</w:t>
      </w:r>
      <w:r>
        <w:t xml:space="preserve"> Hyperlinks, feeds, notifications, and keyword hunting condition people to skim; according to the source, that learned behavior persists even when they try to read serious material on a screen.</w:t>
      </w:r>
      <w:r/>
    </w:p>
    <w:p>
      <w:pPr>
        <w:pStyle w:val="ListBullet"/>
        <w:spacing w:line="276" w:lineRule="auto" w:before="40" w:after="80"/>
        <w:ind w:left="720" w:hanging="360"/>
      </w:pPr>
      <w:r/>
      <w:r>
        <w:rPr>
          <w:b/>
        </w:rPr>
        <w:t>Self-assessment can become unreliable.</w:t>
      </w:r>
      <w:r>
        <w:t xml:space="preserve"> Digital readers reportedly judge their understanding more favorably than their test performance warrants, particularly with dense material. The source treats this metacognitive gap as especially troubling because readers may not recognize the loss.</w:t>
      </w:r>
      <w:r/>
    </w:p>
    <w:p>
      <w:pPr>
        <w:pStyle w:val="ListBullet"/>
        <w:spacing w:line="276" w:lineRule="auto" w:before="40" w:after="80"/>
        <w:ind w:left="720" w:hanging="360"/>
      </w:pPr>
      <w:r/>
      <w:r>
        <w:rPr>
          <w:b/>
        </w:rPr>
        <w:t>The claimed advantage is conditional, not absolute.</w:t>
      </w:r>
      <w:r>
        <w:t xml:space="preserve"> The source says medium differences are relatively small for simple information and acknowledges that screens are useful for news, reference, searching, and skimming; its strongest recommendation concerns difficult material intended for long-term learning.</w:t>
      </w:r>
      <w:r/>
      <w:r/>
    </w:p>
    <w:p>
      <w:pPr>
        <w:pStyle w:val="Heading2"/>
        <w:spacing w:before="280" w:after="120"/>
      </w:pPr>
      <w:r>
        <w:t>Key Facts &amp; Figures</w:t>
      </w:r>
      <w:r/>
      <w:r/>
    </w:p>
    <w:p>
      <w:pPr>
        <w:pStyle w:val="ListBullet"/>
        <w:spacing w:line="276" w:lineRule="auto" w:before="40" w:after="80"/>
        <w:ind w:left="720" w:hanging="360"/>
      </w:pPr>
      <w:r/>
      <w:r>
        <w:t xml:space="preserve">A home containing </w:t>
      </w:r>
      <w:r>
        <w:rPr>
          <w:b/>
        </w:rPr>
        <w:t>one physical book</w:t>
      </w:r>
      <w:r>
        <w:t xml:space="preserve"> was reportedly associated with children being nearly </w:t>
      </w:r>
      <w:r>
        <w:rPr>
          <w:b/>
        </w:rPr>
        <w:t>twice as likely</w:t>
      </w:r>
      <w:r>
        <w:t xml:space="preserve"> to meet basic literacy and mathematics standards as a home with none; this is presented as a correlation across income, parental education, and country, not as a randomized causal result.</w:t>
      </w:r>
      <w:r/>
    </w:p>
    <w:p>
      <w:pPr>
        <w:pStyle w:val="ListBullet"/>
        <w:spacing w:line="276" w:lineRule="auto" w:before="40" w:after="80"/>
        <w:ind w:left="720" w:hanging="360"/>
      </w:pPr>
      <w:r/>
      <w:r>
        <w:t xml:space="preserve">Children raised with more books reportedly completed an average of </w:t>
      </w:r>
      <w:r>
        <w:rPr>
          <w:b/>
        </w:rPr>
        <w:t>three additional years of education</w:t>
      </w:r>
      <w:r>
        <w:t xml:space="preserve"> compared with children raised without them.</w:t>
      </w:r>
      <w:r/>
    </w:p>
    <w:p>
      <w:pPr>
        <w:pStyle w:val="ListBullet"/>
        <w:spacing w:line="276" w:lineRule="auto" w:before="40" w:after="80"/>
        <w:ind w:left="720" w:hanging="360"/>
      </w:pPr>
      <w:r/>
      <w:r>
        <w:t xml:space="preserve">The source says the corresponding positive association was not found for </w:t>
      </w:r>
      <w:r>
        <w:rPr>
          <w:b/>
        </w:rPr>
        <w:t>home access to e-books</w:t>
      </w:r>
      <w:r>
        <w:t>.</w:t>
      </w:r>
      <w:r/>
    </w:p>
    <w:p>
      <w:pPr>
        <w:pStyle w:val="ListBullet"/>
        <w:spacing w:line="276" w:lineRule="auto" w:before="40" w:after="80"/>
        <w:ind w:left="720" w:hanging="360"/>
      </w:pPr>
      <w:r/>
      <w:r>
        <w:t xml:space="preserve">A </w:t>
      </w:r>
      <w:r>
        <w:rPr>
          <w:b/>
        </w:rPr>
        <w:t>2024 meta-analysis combining 49 studies</w:t>
      </w:r>
      <w:r>
        <w:t xml:space="preserve"> reportedly favored print over digital reading across school-age and university populations.</w:t>
      </w:r>
      <w:r/>
    </w:p>
    <w:p>
      <w:pPr>
        <w:pStyle w:val="ListBullet"/>
        <w:spacing w:line="276" w:lineRule="auto" w:before="40" w:after="80"/>
        <w:ind w:left="720" w:hanging="360"/>
      </w:pPr>
      <w:r/>
      <w:r>
        <w:t xml:space="preserve">In the eye-tracking experiment, </w:t>
      </w:r>
      <w:r>
        <w:rPr>
          <w:b/>
        </w:rPr>
        <w:t>50 university students</w:t>
      </w:r>
      <w:r>
        <w:t xml:space="preserve"> spent equal time reading the same article, but the print group reportedly achieved </w:t>
      </w:r>
      <w:r>
        <w:rPr>
          <w:b/>
        </w:rPr>
        <w:t>24% higher comprehension</w:t>
      </w:r>
      <w:r>
        <w:t>.</w:t>
      </w:r>
      <w:r/>
    </w:p>
    <w:p>
      <w:pPr>
        <w:pStyle w:val="ListBullet"/>
        <w:spacing w:line="276" w:lineRule="auto" w:before="40" w:after="80"/>
        <w:ind w:left="720" w:hanging="360"/>
      </w:pPr>
      <w:r/>
      <w:r>
        <w:t xml:space="preserve">Print readers are claimed to read </w:t>
      </w:r>
      <w:r>
        <w:rPr>
          <w:b/>
        </w:rPr>
        <w:t>10–30% faster</w:t>
      </w:r>
      <w:r>
        <w:t>, depending on the study, while also comprehending more.</w:t>
      </w:r>
      <w:r/>
    </w:p>
    <w:p>
      <w:pPr>
        <w:pStyle w:val="ListBullet"/>
        <w:spacing w:line="276" w:lineRule="auto" w:before="40" w:after="80"/>
        <w:ind w:left="720" w:hanging="360"/>
      </w:pPr>
      <w:r/>
      <w:r>
        <w:t xml:space="preserve">An MRI study described by the source examined children ages </w:t>
      </w:r>
      <w:r>
        <w:rPr>
          <w:b/>
        </w:rPr>
        <w:t>8–12</w:t>
      </w:r>
      <w:r>
        <w:t xml:space="preserve"> and associated book reading with stronger connectivity among regions involved in language and cognitive control.</w:t>
      </w:r>
      <w:r/>
    </w:p>
    <w:p>
      <w:pPr>
        <w:pStyle w:val="ListBullet"/>
        <w:spacing w:line="276" w:lineRule="auto" w:before="40" w:after="80"/>
        <w:ind w:left="720" w:hanging="360"/>
      </w:pPr>
      <w:r/>
      <w:r>
        <w:t xml:space="preserve">In a preschool storytime comparison lasting </w:t>
      </w:r>
      <w:r>
        <w:rPr>
          <w:b/>
        </w:rPr>
        <w:t>six weeks</w:t>
      </w:r>
      <w:r>
        <w:t>, children watching recorded readings reportedly performed worse on attention tests than children participating in live, interactive readings.</w:t>
      </w:r>
      <w:r/>
      <w:r/>
    </w:p>
    <w:p>
      <w:pPr>
        <w:pStyle w:val="Heading2"/>
        <w:spacing w:before="280" w:after="120"/>
      </w:pPr>
      <w:r>
        <w:t>Insights</w:t>
      </w:r>
      <w:r/>
      <w:r/>
    </w:p>
    <w:p>
      <w:pPr>
        <w:pStyle w:val="ListBullet"/>
        <w:spacing w:line="276" w:lineRule="auto" w:before="40" w:after="80"/>
        <w:ind w:left="720" w:hanging="360"/>
      </w:pPr>
      <w:r/>
      <w:r>
        <w:rPr>
          <w:b/>
        </w:rPr>
        <w:t>Not all “screen effects” are medium effects.</w:t>
      </w:r>
      <w:r>
        <w:t xml:space="preserve"> Device type, scrolling, notifications, hyperlinks, typography, pagination, and reading purpose can differ simultaneously. The evidence as presented cannot establish that pixels themselves are the decisive cause.</w:t>
      </w:r>
      <w:r/>
    </w:p>
    <w:p>
      <w:pPr>
        <w:pStyle w:val="ListBullet"/>
        <w:spacing w:line="276" w:lineRule="auto" w:before="40" w:after="80"/>
        <w:ind w:left="720" w:hanging="360"/>
      </w:pPr>
      <w:r/>
      <w:r>
        <w:rPr>
          <w:b/>
        </w:rPr>
        <w:t>The preschool comparison contains a major confound.</w:t>
      </w:r>
      <w:r>
        <w:t xml:space="preserve"> One group received live adult interaction, responses, social cues, and participation; the other watched a noninteractive video. Any difference could reflect social engagement and active learning as much as paper versus screen.</w:t>
      </w:r>
      <w:r/>
    </w:p>
    <w:p>
      <w:pPr>
        <w:pStyle w:val="ListBullet"/>
        <w:spacing w:line="276" w:lineRule="auto" w:before="40" w:after="80"/>
        <w:ind w:left="720" w:hanging="360"/>
      </w:pPr>
      <w:r/>
      <w:r>
        <w:rPr>
          <w:b/>
        </w:rPr>
        <w:t>Home libraries may be cultural signals as well as learning tools.</w:t>
      </w:r>
      <w:r>
        <w:t xml:space="preserve"> Even after statistical adjustment, owning physical books can indicate parental reading habits, educational expectations, household stability, or a culture that values learning. The source’s language sometimes moves too quickly from association to “books build better brains.”</w:t>
      </w:r>
      <w:r/>
    </w:p>
    <w:p>
      <w:pPr>
        <w:pStyle w:val="ListBullet"/>
        <w:spacing w:line="276" w:lineRule="auto" w:before="40" w:after="80"/>
        <w:ind w:left="720" w:hanging="360"/>
      </w:pPr>
      <w:r/>
      <w:r>
        <w:rPr>
          <w:b/>
        </w:rPr>
        <w:t>Interface design may recover part of the disadvantage.</w:t>
      </w:r>
      <w:r>
        <w:t xml:space="preserve"> Stable pagination, visible document structure, distraction-free devices, easy annotation, and deliberate rereading could reproduce some benefits attributed to paper. The source largely contrasts books with an “infinite scroll,” although not all digital reading uses that interface.</w:t>
      </w:r>
      <w:r/>
    </w:p>
    <w:p>
      <w:pPr>
        <w:pStyle w:val="ListBullet"/>
        <w:spacing w:line="276" w:lineRule="auto" w:before="40" w:after="80"/>
        <w:ind w:left="720" w:hanging="360"/>
      </w:pPr>
      <w:r/>
      <w:r>
        <w:rPr>
          <w:b/>
        </w:rPr>
        <w:t>Task matching is more defensible than technological absolutism.</w:t>
      </w:r>
      <w:r>
        <w:t xml:space="preserve"> The evidence described supports choosing media according to purpose: digital for retrieval and portability, print for sustained study. It does not establish that every printed text is learned better than every well-designed digital one.</w:t>
      </w:r>
      <w:r/>
    </w:p>
    <w:p>
      <w:pPr>
        <w:pStyle w:val="ListBullet"/>
        <w:spacing w:line="276" w:lineRule="auto" w:before="40" w:after="80"/>
        <w:ind w:left="720" w:hanging="360"/>
      </w:pPr>
      <w:r/>
      <w:r>
        <w:rPr>
          <w:b/>
        </w:rPr>
        <w:t>The metacognitive issue has consequences beyond reading.</w:t>
      </w:r>
      <w:r>
        <w:t xml:space="preserve"> If fluency and speed on screens feel like understanding, learners may stop studying too early. Objective recall or explanation tests become more important when the material is consumed digitally.</w:t>
      </w:r>
      <w:r/>
    </w:p>
    <w:p>
      <w:pPr>
        <w:pStyle w:val="ListBullet"/>
        <w:spacing w:line="276" w:lineRule="auto" w:before="40" w:after="80"/>
        <w:ind w:left="720" w:hanging="360"/>
      </w:pPr>
      <w:r/>
      <w:r>
        <w:rPr>
          <w:b/>
        </w:rPr>
        <w:t>Several neuroscience claims need careful verification.</w:t>
      </w:r>
      <w:r>
        <w:t xml:space="preserve"> Broad mappings such as beta/gamma meaning “deep focus,” alpha/theta meaning “idling,” or lower prefrontal activity necessarily meaning greater efficiency can oversimplify how EEG and brain-imaging results should be interpreted.</w:t>
      </w:r>
      <w:r/>
    </w:p>
    <w:p>
      <w:pPr>
        <w:pStyle w:val="ListBullet"/>
        <w:spacing w:line="276" w:lineRule="auto" w:before="40" w:after="80"/>
        <w:ind w:left="720" w:hanging="360"/>
      </w:pPr>
      <w:r/>
      <w:r>
        <w:rPr>
          <w:b/>
        </w:rPr>
        <w:t>The source does not identify most studies precisely.</w:t>
      </w:r>
      <w:r>
        <w:t xml:space="preserve"> That makes it difficult to inspect effect sizes, experimental controls, publication dates, device types, or whether the reported findings have been generalized beyond their original scope.</w:t>
      </w:r>
      <w:r/>
      <w:r/>
    </w:p>
    <w:p>
      <w:pPr>
        <w:pStyle w:val="Heading2"/>
        <w:spacing w:before="280" w:after="120"/>
      </w:pPr>
      <w:r>
        <w:t>Practical Implications</w:t>
      </w:r>
      <w:r/>
    </w:p>
    <w:p>
      <w:r/>
      <w:r>
        <w:rPr>
          <w:b/>
        </w:rPr>
        <w:t>From the source</w:t>
      </w:r>
      <w:r/>
      <w:r/>
    </w:p>
    <w:p>
      <w:pPr>
        <w:pStyle w:val="ListBullet"/>
        <w:spacing w:line="276" w:lineRule="auto" w:before="40" w:after="80"/>
        <w:ind w:left="720" w:hanging="360"/>
      </w:pPr>
      <w:r/>
      <w:r>
        <w:t>Use paper for dense, consequential material that must be understood deeply or remembered over time.</w:t>
      </w:r>
      <w:r/>
    </w:p>
    <w:p>
      <w:pPr>
        <w:pStyle w:val="ListBullet"/>
        <w:spacing w:line="276" w:lineRule="auto" w:before="40" w:after="80"/>
        <w:ind w:left="720" w:hanging="360"/>
      </w:pPr>
      <w:r/>
      <w:r>
        <w:t>Reserve screens primarily for searching, reference, news scanning, and quick information gathering.</w:t>
      </w:r>
      <w:r/>
    </w:p>
    <w:p>
      <w:pPr>
        <w:pStyle w:val="ListBullet"/>
        <w:spacing w:line="276" w:lineRule="auto" w:before="40" w:after="80"/>
        <w:ind w:left="720" w:hanging="360"/>
      </w:pPr>
      <w:r/>
      <w:r>
        <w:t>Keep physical books available in children’s homes and favor live, interactive reading with them.</w:t>
      </w:r>
      <w:r/>
    </w:p>
    <w:p>
      <w:pPr>
        <w:pStyle w:val="ListBullet"/>
        <w:spacing w:line="276" w:lineRule="auto" w:before="40" w:after="80"/>
        <w:ind w:left="720" w:hanging="360"/>
      </w:pPr>
      <w:r/>
      <w:r>
        <w:t>Choose the medium deliberately rather than assuming identical words produce identical learning.</w:t>
      </w:r>
      <w:r/>
      <w:r/>
    </w:p>
    <w:p>
      <w:r/>
      <w:r>
        <w:rPr>
          <w:b/>
        </w:rPr>
        <w:t>Analyst implications</w:t>
      </w:r>
      <w:r/>
      <w:r/>
    </w:p>
    <w:p>
      <w:pPr>
        <w:pStyle w:val="ListBullet"/>
        <w:spacing w:line="276" w:lineRule="auto" w:before="40" w:after="80"/>
        <w:ind w:left="720" w:hanging="360"/>
      </w:pPr>
      <w:r/>
      <w:r>
        <w:t>When digital reading is unavoidable, reduce the suspected disadvantages: disable notifications, use stable pages rather than endless scrolling, display progress and structure, annotate, and deliberately revisit difficult passages.</w:t>
      </w:r>
      <w:r/>
    </w:p>
    <w:p>
      <w:pPr>
        <w:pStyle w:val="ListBullet"/>
        <w:spacing w:line="276" w:lineRule="auto" w:before="40" w:after="80"/>
        <w:ind w:left="720" w:hanging="360"/>
      </w:pPr>
      <w:r/>
      <w:r>
        <w:t>Test understanding through retrieval—summarize from memory, answer questions, or teach the idea—rather than relying on a feeling of fluency.</w:t>
      </w:r>
      <w:r/>
    </w:p>
    <w:p>
      <w:pPr>
        <w:pStyle w:val="ListBullet"/>
        <w:spacing w:line="276" w:lineRule="auto" w:before="40" w:after="80"/>
        <w:ind w:left="720" w:hanging="360"/>
      </w:pPr>
      <w:r/>
      <w:r>
        <w:t>Schools and organizations should evaluate digital transitions by learning outcomes, not merely cost, convenience, access, or reading speed.</w:t>
      </w:r>
      <w:r/>
    </w:p>
    <w:p>
      <w:pPr>
        <w:pStyle w:val="ListBullet"/>
        <w:spacing w:line="276" w:lineRule="auto" w:before="40" w:after="80"/>
        <w:ind w:left="720" w:hanging="360"/>
      </w:pPr>
      <w:r/>
      <w:r>
        <w:t>Before acting on the strongest numerical or neurological claims, locate the underlying studies and check whether they compare identical levels of interaction, distraction, layout, and reader experience.</w:t>
      </w:r>
      <w:r/>
      <w:r/>
    </w:p>
    <w:p>
      <w:pPr>
        <w:pStyle w:val="Heading2"/>
        <w:spacing w:before="280" w:after="120"/>
      </w:pPr>
      <w:r>
        <w:t>References</w:t>
      </w:r>
      <w:r/>
      <w:r/>
    </w:p>
    <w:p>
      <w:pPr>
        <w:pStyle w:val="ListBullet"/>
        <w:spacing w:line="276" w:lineRule="auto" w:before="40" w:after="80"/>
        <w:ind w:left="720" w:hanging="360"/>
      </w:pPr>
      <w:r/>
      <w:r>
        <w:rPr>
          <w:b/>
        </w:rPr>
        <w:t>Cognitive load:</w:t>
      </w:r>
      <w:r>
        <w:t xml:space="preserve"> The source’s framework for explaining how navigation, scrolling, and distractions may leave fewer mental resources for understanding.</w:t>
      </w:r>
      <w:r/>
    </w:p>
    <w:p>
      <w:pPr>
        <w:pStyle w:val="ListBullet"/>
        <w:spacing w:line="276" w:lineRule="auto" w:before="40" w:after="80"/>
        <w:ind w:left="720" w:hanging="360"/>
      </w:pPr>
      <w:r/>
      <w:r>
        <w:rPr>
          <w:b/>
        </w:rPr>
        <w:t>Embodied reading:</w:t>
      </w:r>
      <w:r>
        <w:t xml:space="preserve"> The proposed role of tactile, spatial, and sensory cues in organizing and retrieving memories from text.</w:t>
      </w:r>
      <w:r/>
    </w:p>
    <w:p>
      <w:pPr>
        <w:pStyle w:val="ListBullet"/>
        <w:spacing w:line="276" w:lineRule="auto" w:before="40" w:after="80"/>
        <w:ind w:left="720" w:hanging="360"/>
      </w:pPr>
      <w:r/>
      <w:r>
        <w:rPr>
          <w:b/>
        </w:rPr>
        <w:t>Metacognitive failure:</w:t>
      </w:r>
      <w:r>
        <w:t xml:space="preserve"> The mismatch described between digital readers’ confidence and their measured comprehension.</w:t>
      </w:r>
      <w:r/>
    </w:p>
    <w:p>
      <w:pPr>
        <w:pStyle w:val="ListBullet"/>
        <w:spacing w:line="276" w:lineRule="auto" w:before="40" w:after="80"/>
        <w:ind w:left="720" w:hanging="360"/>
      </w:pPr>
      <w:r/>
      <w:r>
        <w:rPr>
          <w:b/>
        </w:rPr>
        <w:t>Shallowing effect:</w:t>
      </w:r>
      <w:r>
        <w:t xml:space="preserve"> The source’s term for digital habits that favor scanning, keyword hunting, and rapid movement over sustained reading.</w:t>
      </w:r>
      <w:r/>
    </w:p>
    <w:p>
      <w:pPr>
        <w:pStyle w:val="ListBullet"/>
        <w:spacing w:line="276" w:lineRule="auto" w:before="40" w:after="80"/>
        <w:ind w:left="720" w:hanging="360"/>
      </w:pPr>
      <w:r/>
      <w:r>
        <w:rPr>
          <w:b/>
        </w:rPr>
        <w:t>Johns Hopkins University:</w:t>
      </w:r>
      <w:r>
        <w:t xml:space="preserve"> Identified by the source as the institution behind MRI research comparing children’s book reading and screen exposure.</w:t>
      </w:r>
      <w:r/>
    </w:p>
    <w:p>
      <w:pPr>
        <w:pStyle w:val="ListBullet"/>
        <w:spacing w:line="276" w:lineRule="auto" w:before="40" w:after="80"/>
        <w:ind w:left="720" w:hanging="360"/>
      </w:pPr>
      <w:r/>
      <w:r>
        <w:rPr>
          <w:b/>
        </w:rPr>
        <w:t>2024 meta-analysis of 49 print-versus-digital reading studies:</w:t>
      </w:r>
      <w:r>
        <w:t xml:space="preserve"> The source’s principal aggregate evidence, though it does not provide enough bibliographic information to identify the paper unambiguously.</w:t>
      </w:r>
      <w:r/>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