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David Epstein - 34 Life-Changing Books Summarized in 44 Minutes</w:t>
      </w:r>
    </w:p>
    <w:p>
      <w:r>
        <w:rPr>
          <w:b/>
        </w:rPr>
        <w:t xml:space="preserve">Source: </w:t>
      </w:r>
      <w:r>
        <w:t>https://youtu.be/jq2eYoAq5tQ</w:t>
      </w:r>
    </w:p>
    <w:p>
      <w:r>
        <w:rPr>
          <w:b/>
        </w:rPr>
        <w:t xml:space="preserve">Date: </w:t>
      </w:r>
      <w:r>
        <w:t>2026-02-17</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Because no one can read more than a sliver of the world’s books, the source recommends choosing works that sharpen attention and judgment, improve learning and adaptation, and deepen one’s understanding of meaning, craft, and human experience.</w:t>
      </w:r>
      <w:r/>
    </w:p>
    <w:p>
      <w:pPr>
        <w:pStyle w:val="Heading2"/>
        <w:spacing w:before="280" w:after="120"/>
      </w:pPr>
      <w:r>
        <w:t>Executive Brief</w:t>
      </w:r>
      <w:r/>
    </w:p>
    <w:p>
      <w:r/>
      <w:r>
        <w:t>The source presents a personal canon of books that have most changed how the speaker thinks, works, and lives.</w:t>
      </w:r>
      <w:r/>
      <w:r/>
    </w:p>
    <w:p>
      <w:pPr>
        <w:pStyle w:val="ListBullet"/>
        <w:spacing w:line="276" w:lineRule="auto" w:before="40" w:after="80"/>
        <w:ind w:left="720" w:hanging="360"/>
      </w:pPr>
      <w:r/>
      <w:r>
        <w:rPr>
          <w:b/>
        </w:rPr>
        <w:t>Attention is a limited resource:</w:t>
      </w:r>
      <w:r>
        <w:t xml:space="preserve"> Gloria Mark, Cal Newport, Maria Konnikova, and Oliver Burkeman are used to argue for less task-switching, earlier breaks, greater emotional self-awareness, and ruthless selection of what deserves time.</w:t>
      </w:r>
      <w:r/>
    </w:p>
    <w:p>
      <w:pPr>
        <w:pStyle w:val="ListBullet"/>
        <w:spacing w:line="276" w:lineRule="auto" w:before="40" w:after="80"/>
        <w:ind w:left="720" w:hanging="360"/>
      </w:pPr>
      <w:r/>
      <w:r>
        <w:rPr>
          <w:b/>
        </w:rPr>
        <w:t>Sound judgment requires correction mechanisms:</w:t>
      </w:r>
      <w:r>
        <w:t xml:space="preserve"> Daniel Kahneman, Robin Hogarth, and Philip Tetlock show how intuition can be biased, how experience may produce confidence without skill, and why prompt feedback, reference classes, and active falsification improve decisions.</w:t>
      </w:r>
      <w:r/>
    </w:p>
    <w:p>
      <w:pPr>
        <w:pStyle w:val="ListBullet"/>
        <w:spacing w:line="276" w:lineRule="auto" w:before="40" w:after="80"/>
        <w:ind w:left="720" w:hanging="360"/>
      </w:pPr>
      <w:r/>
      <w:r>
        <w:rPr>
          <w:b/>
        </w:rPr>
        <w:t>Adaptation beats rigid planning:</w:t>
      </w:r>
      <w:r>
        <w:t xml:space="preserve"> </w:t>
      </w:r>
      <w:r>
        <w:rPr>
          <w:i/>
        </w:rPr>
        <w:t>Working Identity</w:t>
      </w:r>
      <w:r>
        <w:t xml:space="preserve"> and </w:t>
      </w:r>
      <w:r>
        <w:rPr>
          <w:i/>
        </w:rPr>
        <w:t>Dark Horse</w:t>
      </w:r>
      <w:r>
        <w:t xml:space="preserve"> portray fulfilling careers as products of small experiments, reflection, and short-term pivots rather than fixed long-range plans or personality tests.</w:t>
      </w:r>
      <w:r/>
    </w:p>
    <w:p>
      <w:pPr>
        <w:pStyle w:val="ListBullet"/>
        <w:spacing w:line="276" w:lineRule="auto" w:before="40" w:after="80"/>
        <w:ind w:left="720" w:hanging="360"/>
      </w:pPr>
      <w:r/>
      <w:r>
        <w:rPr>
          <w:b/>
        </w:rPr>
        <w:t>Performance is partly interpretive:</w:t>
      </w:r>
      <w:r>
        <w:t xml:space="preserve"> </w:t>
      </w:r>
      <w:r>
        <w:rPr>
          <w:i/>
        </w:rPr>
        <w:t>Endure</w:t>
      </w:r>
      <w:r>
        <w:t xml:space="preserve">, </w:t>
      </w:r>
      <w:r>
        <w:rPr>
          <w:i/>
        </w:rPr>
        <w:t>Peak Performance</w:t>
      </w:r>
      <w:r>
        <w:t xml:space="preserve">, and </w:t>
      </w:r>
      <w:r>
        <w:rPr>
          <w:i/>
        </w:rPr>
        <w:t>The Challenge of Pain</w:t>
      </w:r>
      <w:r>
        <w:t xml:space="preserve"> emphasize how meaning, expectations, arousal, and catastrophizing can alter endurance, stress, and experienced pain—without eliminating physical limits or risks.</w:t>
      </w:r>
      <w:r/>
    </w:p>
    <w:p>
      <w:pPr>
        <w:pStyle w:val="ListBullet"/>
        <w:spacing w:line="276" w:lineRule="auto" w:before="40" w:after="80"/>
        <w:ind w:left="720" w:hanging="360"/>
      </w:pPr>
      <w:r/>
      <w:r>
        <w:rPr>
          <w:b/>
        </w:rPr>
        <w:t>Systems often defeat individual intent:</w:t>
      </w:r>
      <w:r>
        <w:t xml:space="preserve"> </w:t>
      </w:r>
      <w:r>
        <w:rPr>
          <w:i/>
        </w:rPr>
        <w:t>Loonshots</w:t>
      </w:r>
      <w:r>
        <w:t xml:space="preserve">, </w:t>
      </w:r>
      <w:r>
        <w:rPr>
          <w:i/>
        </w:rPr>
        <w:t>War and Peace</w:t>
      </w:r>
      <w:r>
        <w:t xml:space="preserve">, </w:t>
      </w:r>
      <w:r>
        <w:rPr>
          <w:i/>
        </w:rPr>
        <w:t>If Then</w:t>
      </w:r>
      <w:r>
        <w:t xml:space="preserve">, and Durkheim’s </w:t>
      </w:r>
      <w:r>
        <w:rPr>
          <w:i/>
        </w:rPr>
        <w:t>Suicide</w:t>
      </w:r>
      <w:r>
        <w:t xml:space="preserve"> examine how organizational incentives, distributed action, misleading metrics, and social conditions shape outcomes that cannot be understood through individual psychology alone.</w:t>
      </w:r>
      <w:r/>
    </w:p>
    <w:p>
      <w:pPr>
        <w:pStyle w:val="ListBullet"/>
        <w:spacing w:line="276" w:lineRule="auto" w:before="40" w:after="80"/>
        <w:ind w:left="720" w:hanging="360"/>
      </w:pPr>
      <w:r/>
      <w:r>
        <w:rPr>
          <w:b/>
        </w:rPr>
        <w:t>Fiction and philosophy expand practical imagination:</w:t>
      </w:r>
      <w:r>
        <w:t xml:space="preserve"> Works by John Williams, Dante, Homer, Bashō, Boccaccio, Nietzsche, Borges, and others are recommended as vehicles for understanding devotion, mentorship, homecoming, storytelling, creativity, and humanity’s place in the universe.</w:t>
      </w:r>
      <w:r/>
    </w:p>
    <w:p>
      <w:pPr>
        <w:pStyle w:val="ListBullet"/>
        <w:spacing w:line="276" w:lineRule="auto" w:before="40" w:after="80"/>
        <w:ind w:left="720" w:hanging="360"/>
      </w:pPr>
      <w:r/>
      <w:r>
        <w:rPr>
          <w:b/>
        </w:rPr>
        <w:t>Meaning comes through commitment:</w:t>
      </w:r>
      <w:r>
        <w:t xml:space="preserve"> Across Burkeman, Susan Wolf, Todd May, Nietzsche, and Brian Greene, mortality is treated not merely as a constraint but as a reason to choose valuable work, relationships, and creations that may outlast an individual life.</w:t>
      </w:r>
      <w:r/>
      <w:r/>
    </w:p>
    <w:p>
      <w:pPr>
        <w:pStyle w:val="Heading2"/>
        <w:spacing w:before="280" w:after="120"/>
      </w:pPr>
      <w:r>
        <w:t>Core Argument</w:t>
      </w:r>
      <w:r/>
    </w:p>
    <w:p>
      <w:r/>
      <w:r>
        <w:rPr>
          <w:b/>
        </w:rPr>
        <w:t>Central thesis or narrative:</w:t>
      </w:r>
      <w:r>
        <w:t xml:space="preserve"> The source argues that reading should be governed by selection and transformation rather than volume: the best books supply durable models for managing attention, improving judgment, navigating change, understanding complex systems, and choosing a meaningful life. Its recommendations are selective personal takeaways, not comprehensive reviews of each book.</w:t>
      </w:r>
      <w:r/>
    </w:p>
    <w:p>
      <w:r/>
      <w:r>
        <w:rPr>
          <w:b/>
        </w:rPr>
        <w:t>Reasoning, evidence &amp; mechanisms</w:t>
      </w:r>
      <w:r/>
      <w:r/>
    </w:p>
    <w:p>
      <w:pPr>
        <w:pStyle w:val="ListBullet"/>
        <w:spacing w:line="276" w:lineRule="auto" w:before="40" w:after="80"/>
        <w:ind w:left="720" w:hanging="360"/>
      </w:pPr>
      <w:r/>
      <w:r>
        <w:rPr>
          <w:b/>
        </w:rPr>
        <w:t>Scarcity makes selection decisive:</w:t>
      </w:r>
      <w:r>
        <w:t xml:space="preserve"> With more books available than anyone could read, the opportunity cost of each choice is high; the speaker therefore prioritizes books whose ideas transfer into work, decisions, relationships, creativity, or self-understanding.</w:t>
      </w:r>
      <w:r/>
    </w:p>
    <w:p>
      <w:pPr>
        <w:pStyle w:val="ListBullet"/>
        <w:spacing w:line="276" w:lineRule="auto" w:before="40" w:after="80"/>
        <w:ind w:left="720" w:hanging="360"/>
      </w:pPr>
      <w:r/>
      <w:r>
        <w:rPr>
          <w:b/>
        </w:rPr>
        <w:t>Attention links productivity and well-being:</w:t>
      </w:r>
      <w:r>
        <w:t xml:space="preserve"> Task-switching requires the brain to repeatedly change rules, unfinished work leaves mental residue, and waiting until exhaustion to rest produces longer recovery. Slower, more seasonal work can therefore outperform frantic activity while reducing stress.</w:t>
      </w:r>
      <w:r/>
    </w:p>
    <w:p>
      <w:pPr>
        <w:pStyle w:val="ListBullet"/>
        <w:spacing w:line="276" w:lineRule="auto" w:before="40" w:after="80"/>
        <w:ind w:left="720" w:hanging="360"/>
      </w:pPr>
      <w:r/>
      <w:r>
        <w:rPr>
          <w:b/>
        </w:rPr>
        <w:t>Good intuition depends on the environment:</w:t>
      </w:r>
      <w:r>
        <w:t xml:space="preserve"> Repeated experience builds expertise in “kind” environments with stable patterns and clear feedback, but may mislead in “wicked” environments where rules shift and feedback is delayed or unreliable. In the latter, learners must deliberately create faster feedback loops and seek disconfirming evidence.</w:t>
      </w:r>
      <w:r/>
    </w:p>
    <w:p>
      <w:pPr>
        <w:pStyle w:val="ListBullet"/>
        <w:spacing w:line="276" w:lineRule="auto" w:before="40" w:after="80"/>
        <w:ind w:left="720" w:hanging="360"/>
      </w:pPr>
      <w:r/>
      <w:r>
        <w:rPr>
          <w:b/>
        </w:rPr>
        <w:t>Forecasting improves through intellectual flexibility:</w:t>
      </w:r>
      <w:r>
        <w:t xml:space="preserve"> Tetlock’s better forecasters draw from multiple perspectives, use comparable historical cases, update after errors, and invite others to challenge them; narrow experts who interpret everything through one model may become more confident without becoming more accurate.</w:t>
      </w:r>
      <w:r/>
    </w:p>
    <w:p>
      <w:pPr>
        <w:pStyle w:val="ListBullet"/>
        <w:spacing w:line="276" w:lineRule="auto" w:before="40" w:after="80"/>
        <w:ind w:left="720" w:hanging="360"/>
      </w:pPr>
      <w:r/>
      <w:r>
        <w:rPr>
          <w:b/>
        </w:rPr>
        <w:t>Complex outcomes emerge from context and distributed action:</w:t>
      </w:r>
      <w:r>
        <w:t xml:space="preserve"> Organizational silos can turn colleagues into rivals, interventions may work when harmful behavior is tightly “coupled” to a particular moment, battlefield outcomes arise from countless local actions, and measurable indicators can obscure the real objective.</w:t>
      </w:r>
      <w:r/>
    </w:p>
    <w:p>
      <w:pPr>
        <w:pStyle w:val="ListBullet"/>
        <w:spacing w:line="276" w:lineRule="auto" w:before="40" w:after="80"/>
        <w:ind w:left="720" w:hanging="360"/>
      </w:pPr>
      <w:r/>
      <w:r>
        <w:rPr>
          <w:b/>
        </w:rPr>
        <w:t>Identity is discovered experimentally:</w:t>
      </w:r>
      <w:r>
        <w:t xml:space="preserve"> Career fit cannot be fully inferred from introspection or a questionnaire because self-knowledge is constrained by prior experience. Trying a project, observing its effects, and adjusting exposes preferences and abilities that abstract planning cannot reveal.</w:t>
      </w:r>
      <w:r/>
    </w:p>
    <w:p>
      <w:pPr>
        <w:pStyle w:val="ListBullet"/>
        <w:spacing w:line="276" w:lineRule="auto" w:before="40" w:after="80"/>
        <w:ind w:left="720" w:hanging="360"/>
      </w:pPr>
      <w:r/>
      <w:r>
        <w:rPr>
          <w:b/>
        </w:rPr>
        <w:t>Mortality forces prioritization:</w:t>
      </w:r>
      <w:r>
        <w:t xml:space="preserve"> Productivity systems become counterproductive when they preserve the fantasy that everything can be completed. Accepting limited time makes subtraction, commitment, and meaningful creation unavoidable.</w:t>
      </w:r>
      <w:r/>
    </w:p>
    <w:p>
      <w:pPr>
        <w:pStyle w:val="ListBullet"/>
        <w:spacing w:line="276" w:lineRule="auto" w:before="40" w:after="80"/>
        <w:ind w:left="720" w:hanging="360"/>
      </w:pPr>
      <w:r/>
      <w:r>
        <w:rPr>
          <w:b/>
        </w:rPr>
        <w:t>The source’s evidence is heterogeneous:</w:t>
      </w:r>
      <w:r>
        <w:t xml:space="preserve"> It combines research summaries, historical interpretation, philosophical arguments, literary readings, and personal experience; these forms illuminate different questions but do not offer the same kind or strength of proof.</w:t>
      </w:r>
      <w:r/>
      <w:r/>
    </w:p>
    <w:p>
      <w:pPr>
        <w:pStyle w:val="Heading2"/>
        <w:spacing w:before="280" w:after="120"/>
      </w:pPr>
      <w:r>
        <w:t>Key Facts &amp; Figures</w:t>
      </w:r>
      <w:r/>
      <w:r/>
    </w:p>
    <w:p>
      <w:pPr>
        <w:pStyle w:val="ListBullet"/>
        <w:spacing w:line="276" w:lineRule="auto" w:before="40" w:after="80"/>
        <w:ind w:left="720" w:hanging="360"/>
      </w:pPr>
      <w:r/>
      <w:r>
        <w:t xml:space="preserve">The speaker reports reading </w:t>
      </w:r>
      <w:r>
        <w:rPr>
          <w:b/>
        </w:rPr>
        <w:t>more than 1,000 books over roughly two decades</w:t>
      </w:r>
      <w:r>
        <w:t xml:space="preserve">, while arguing that even a lifelong reader can encounter only a tiny fraction of the more than </w:t>
      </w:r>
      <w:r>
        <w:rPr>
          <w:b/>
        </w:rPr>
        <w:t>100 million books</w:t>
      </w:r>
      <w:r>
        <w:t xml:space="preserve"> said to exist.</w:t>
      </w:r>
      <w:r/>
    </w:p>
    <w:p>
      <w:pPr>
        <w:pStyle w:val="ListBullet"/>
        <w:spacing w:line="276" w:lineRule="auto" w:before="40" w:after="80"/>
        <w:ind w:left="720" w:hanging="360"/>
      </w:pPr>
      <w:r/>
      <w:r>
        <w:t xml:space="preserve">In the Golden Gate Bridge example presented from </w:t>
      </w:r>
      <w:r>
        <w:rPr>
          <w:i/>
        </w:rPr>
        <w:t>Talking to Strangers</w:t>
      </w:r>
      <w:r>
        <w:t xml:space="preserve">, roughly </w:t>
      </w:r>
      <w:r>
        <w:rPr>
          <w:b/>
        </w:rPr>
        <w:t>480 of about 500 people</w:t>
      </w:r>
      <w:r>
        <w:t xml:space="preserve"> who survived an attempt were reportedly still alive 20 years later; the source uses this to illustrate behavior coupled to a specific crisis rather than inevitably displaced elsewhere.</w:t>
      </w:r>
      <w:r/>
    </w:p>
    <w:p>
      <w:pPr>
        <w:pStyle w:val="ListBullet"/>
        <w:spacing w:line="276" w:lineRule="auto" w:before="40" w:after="80"/>
        <w:ind w:left="720" w:hanging="360"/>
      </w:pPr>
      <w:r/>
      <w:r>
        <w:rPr>
          <w:i/>
        </w:rPr>
        <w:t>Four Thousand Weeks</w:t>
      </w:r>
      <w:r>
        <w:t xml:space="preserve"> takes its title from the approximate number of weeks in a typical human life, turning lifespan into a concrete measure of scarcity.</w:t>
      </w:r>
      <w:r/>
    </w:p>
    <w:p>
      <w:pPr>
        <w:pStyle w:val="ListBullet"/>
        <w:spacing w:line="276" w:lineRule="auto" w:before="40" w:after="80"/>
        <w:ind w:left="720" w:hanging="360"/>
      </w:pPr>
      <w:r/>
      <w:r>
        <w:t xml:space="preserve">Tetlock’s </w:t>
      </w:r>
      <w:r>
        <w:rPr>
          <w:i/>
        </w:rPr>
        <w:t>Expert Political Judgment</w:t>
      </w:r>
      <w:r>
        <w:t xml:space="preserve"> is described as drawing on approximately </w:t>
      </w:r>
      <w:r>
        <w:rPr>
          <w:b/>
        </w:rPr>
        <w:t>83,000 forecasts over 20 years</w:t>
      </w:r>
      <w:r>
        <w:t>, a scale intended to distinguish forecasting skill from luck.</w:t>
      </w:r>
      <w:r/>
    </w:p>
    <w:p>
      <w:pPr>
        <w:pStyle w:val="ListBullet"/>
        <w:spacing w:line="276" w:lineRule="auto" w:before="40" w:after="80"/>
        <w:ind w:left="720" w:hanging="360"/>
      </w:pPr>
      <w:r/>
      <w:r>
        <w:rPr>
          <w:i/>
        </w:rPr>
        <w:t>War and Peace</w:t>
      </w:r>
      <w:r>
        <w:t xml:space="preserve"> is described as roughly </w:t>
      </w:r>
      <w:r>
        <w:rPr>
          <w:b/>
        </w:rPr>
        <w:t>1,200 pages</w:t>
      </w:r>
      <w:r>
        <w:t>, but the source recommends reading it in full for both Tolstoy’s craft and his argument against “great man” accounts of history.</w:t>
      </w:r>
      <w:r/>
    </w:p>
    <w:p>
      <w:pPr>
        <w:pStyle w:val="ListBullet"/>
        <w:spacing w:line="276" w:lineRule="auto" w:before="40" w:after="80"/>
        <w:ind w:left="720" w:hanging="360"/>
      </w:pPr>
      <w:r/>
      <w:r>
        <w:rPr>
          <w:i/>
        </w:rPr>
        <w:t>Peak Performance</w:t>
      </w:r>
      <w:r>
        <w:t xml:space="preserve"> is said to require about </w:t>
      </w:r>
      <w:r>
        <w:rPr>
          <w:b/>
        </w:rPr>
        <w:t>two weeks of practice</w:t>
      </w:r>
      <w:r>
        <w:t xml:space="preserve"> to learn the featured autogenic-relaxation techniques well enough to enter a calmer state quickly.</w:t>
      </w:r>
      <w:r/>
    </w:p>
    <w:p>
      <w:pPr>
        <w:pStyle w:val="ListBullet"/>
        <w:spacing w:line="276" w:lineRule="auto" w:before="40" w:after="80"/>
        <w:ind w:left="720" w:hanging="360"/>
      </w:pPr>
      <w:r/>
      <w:r>
        <w:t xml:space="preserve">Borges’s stories are typically described as only </w:t>
      </w:r>
      <w:r>
        <w:rPr>
          <w:b/>
        </w:rPr>
        <w:t>five to ten pages</w:t>
      </w:r>
      <w:r>
        <w:t>, yet the source treats each as a compact metaphysical thought experiment capable of stimulating creative work.</w:t>
      </w:r>
      <w:r/>
      <w:r/>
    </w:p>
    <w:p>
      <w:pPr>
        <w:pStyle w:val="Heading2"/>
        <w:spacing w:before="280" w:after="120"/>
      </w:pPr>
      <w:r>
        <w:t>Insights</w:t>
      </w:r>
      <w:r/>
      <w:r/>
    </w:p>
    <w:p>
      <w:pPr>
        <w:pStyle w:val="ListBullet"/>
        <w:spacing w:line="276" w:lineRule="auto" w:before="40" w:after="80"/>
        <w:ind w:left="720" w:hanging="360"/>
      </w:pPr>
      <w:r/>
      <w:r>
        <w:rPr>
          <w:b/>
        </w:rPr>
        <w:t>The list has a hidden unifying theme: finite agency.</w:t>
      </w:r>
      <w:r>
        <w:t xml:space="preserve"> Attention, time, bodily effort, knowledge, and control are all limited; the recommended books teach not omnipotence but better allocation, adaptation, and response.</w:t>
      </w:r>
      <w:r/>
    </w:p>
    <w:p>
      <w:pPr>
        <w:pStyle w:val="ListBullet"/>
        <w:spacing w:line="276" w:lineRule="auto" w:before="40" w:after="80"/>
        <w:ind w:left="720" w:hanging="360"/>
      </w:pPr>
      <w:r/>
      <w:r>
        <w:rPr>
          <w:b/>
        </w:rPr>
        <w:t>Feedback is the central learning technology.</w:t>
      </w:r>
      <w:r>
        <w:t xml:space="preserve"> Attention journals, emotional monitoring, career experiments, forecasting scores, tests returned quickly, and reference classes all perform the same function: they expose the gap between one’s internal story and external reality.</w:t>
      </w:r>
      <w:r/>
    </w:p>
    <w:p>
      <w:pPr>
        <w:pStyle w:val="ListBullet"/>
        <w:spacing w:line="276" w:lineRule="auto" w:before="40" w:after="80"/>
        <w:ind w:left="720" w:hanging="360"/>
      </w:pPr>
      <w:r/>
      <w:r>
        <w:rPr>
          <w:b/>
        </w:rPr>
        <w:t>The source alternates between agency and humility.</w:t>
      </w:r>
      <w:r>
        <w:t xml:space="preserve"> Readers are urged to shape routines, careers, reactions, and commitments, yet also to recognize systemic incentives, social context, randomness, and emergent outcomes. High agency here means acting vigorously without assuming total control.</w:t>
      </w:r>
      <w:r/>
    </w:p>
    <w:p>
      <w:pPr>
        <w:pStyle w:val="ListBullet"/>
        <w:spacing w:line="276" w:lineRule="auto" w:before="40" w:after="80"/>
        <w:ind w:left="720" w:hanging="360"/>
      </w:pPr>
      <w:r/>
      <w:r>
        <w:rPr>
          <w:b/>
        </w:rPr>
        <w:t>Several productivity books ultimately argue against productivity culture.</w:t>
      </w:r>
      <w:r>
        <w:t xml:space="preserve"> Their deeper message is not how to process more inputs, but how to protect attention, tolerate incompletion, and decide which obligations should never be accepted.</w:t>
      </w:r>
      <w:r/>
    </w:p>
    <w:p>
      <w:pPr>
        <w:pStyle w:val="ListBullet"/>
        <w:spacing w:line="276" w:lineRule="auto" w:before="40" w:after="80"/>
        <w:ind w:left="720" w:hanging="360"/>
      </w:pPr>
      <w:r/>
      <w:r>
        <w:rPr>
          <w:b/>
        </w:rPr>
        <w:t>Quantification is presented as both remedy and trap.</w:t>
      </w:r>
      <w:r>
        <w:t xml:space="preserve"> Tetlock’s scored forecasts and Gloria Mark’s workplace measurements reveal patterns people miss, while </w:t>
      </w:r>
      <w:r>
        <w:rPr>
          <w:i/>
        </w:rPr>
        <w:t>If Then</w:t>
      </w:r>
      <w:r>
        <w:t xml:space="preserve"> and </w:t>
      </w:r>
      <w:r>
        <w:rPr>
          <w:i/>
        </w:rPr>
        <w:t>War and Peace</w:t>
      </w:r>
      <w:r>
        <w:t xml:space="preserve"> warn that metrics can become dangerous when proxies replace purposes or local reality changes faster than information reaches leaders.</w:t>
      </w:r>
      <w:r/>
    </w:p>
    <w:p>
      <w:pPr>
        <w:pStyle w:val="ListBullet"/>
        <w:spacing w:line="276" w:lineRule="auto" w:before="40" w:after="80"/>
        <w:ind w:left="720" w:hanging="360"/>
      </w:pPr>
      <w:r/>
      <w:r>
        <w:rPr>
          <w:b/>
        </w:rPr>
        <w:t>Fiction functions as cognitive training rather than decoration.</w:t>
      </w:r>
      <w:r>
        <w:t xml:space="preserve"> Tolstoy models emergence, Dante models developmental mentorship, Homer models identity transformed through return, and Borges destabilizes habitual assumptions about representation, order, and reality.</w:t>
      </w:r>
      <w:r/>
    </w:p>
    <w:p>
      <w:pPr>
        <w:pStyle w:val="ListBullet"/>
        <w:spacing w:line="276" w:lineRule="auto" w:before="40" w:after="80"/>
        <w:ind w:left="720" w:hanging="360"/>
      </w:pPr>
      <w:r/>
      <w:r>
        <w:rPr>
          <w:b/>
        </w:rPr>
        <w:t>Some scientific ideas are compressed into memorable shorthand.</w:t>
      </w:r>
      <w:r>
        <w:t xml:space="preserve"> Introversion as “how one recharges,” System 1 versus System 2, and the mind’s role in endurance are useful entry points, but readers should not treat these brief formulations as complete accounts of contested or nuanced research.</w:t>
      </w:r>
      <w:r/>
    </w:p>
    <w:p>
      <w:pPr>
        <w:pStyle w:val="ListBullet"/>
        <w:spacing w:line="276" w:lineRule="auto" w:before="40" w:after="80"/>
        <w:ind w:left="720" w:hanging="360"/>
      </w:pPr>
      <w:r/>
      <w:r>
        <w:rPr>
          <w:b/>
        </w:rPr>
        <w:t>The career advice fits volatile environments but has boundary conditions.</w:t>
      </w:r>
      <w:r>
        <w:t xml:space="preserve"> Experimentation and short planning horizons are especially valuable when opportunities and technologies change quickly, though some professions still require long credentialing paths and irreversible commitments.</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Identify whether solitude or social contact restores your energy, then plan recovery accordingly rather than treating introversion as mere shyness.</w:t>
      </w:r>
      <w:r/>
    </w:p>
    <w:p>
      <w:pPr>
        <w:pStyle w:val="ListBullet"/>
        <w:spacing w:line="276" w:lineRule="auto" w:before="40" w:after="80"/>
        <w:ind w:left="720" w:hanging="360"/>
      </w:pPr>
      <w:r/>
      <w:r>
        <w:t>Avoid beginning the day with email when it fills the mind with unfinished obligations before important work begins.</w:t>
      </w:r>
      <w:r/>
    </w:p>
    <w:p>
      <w:pPr>
        <w:pStyle w:val="ListBullet"/>
        <w:spacing w:line="276" w:lineRule="auto" w:before="40" w:after="80"/>
        <w:ind w:left="720" w:hanging="360"/>
      </w:pPr>
      <w:r/>
      <w:r>
        <w:t>Take brief, low-demand breaks before attention is exhausted instead of waiting until burnout forces a longer interruption.</w:t>
      </w:r>
      <w:r/>
    </w:p>
    <w:p>
      <w:pPr>
        <w:pStyle w:val="ListBullet"/>
        <w:spacing w:line="276" w:lineRule="auto" w:before="40" w:after="80"/>
        <w:ind w:left="720" w:hanging="360"/>
      </w:pPr>
      <w:r/>
      <w:r>
        <w:t>Keep an attention journal: enter meetings with specific behaviors to observe, and note when emotion or “tilt” is impairing judgment enough that you should pause.</w:t>
      </w:r>
      <w:r/>
    </w:p>
    <w:p>
      <w:pPr>
        <w:pStyle w:val="ListBullet"/>
        <w:spacing w:line="276" w:lineRule="auto" w:before="40" w:after="80"/>
        <w:ind w:left="720" w:hanging="360"/>
      </w:pPr>
      <w:r/>
      <w:r>
        <w:t>In negotiations, try to establish the first defensible number; if someone else anchors the discussion, deliberately reassess from independent evidence.</w:t>
      </w:r>
      <w:r/>
    </w:p>
    <w:p>
      <w:pPr>
        <w:pStyle w:val="ListBullet"/>
        <w:spacing w:line="276" w:lineRule="auto" w:before="40" w:after="80"/>
        <w:ind w:left="720" w:hanging="360"/>
      </w:pPr>
      <w:r/>
      <w:r>
        <w:t>Shorten feedback loops wherever possible—review decisions, forecasts, tests, and work while the original reasoning is still accessible.</w:t>
      </w:r>
      <w:r/>
    </w:p>
    <w:p>
      <w:pPr>
        <w:pStyle w:val="ListBullet"/>
        <w:spacing w:line="276" w:lineRule="auto" w:before="40" w:after="80"/>
        <w:ind w:left="720" w:hanging="360"/>
      </w:pPr>
      <w:r/>
      <w:r>
        <w:t>For uncertain predictions, begin with a reference class of similar cases, then adjust for the specifics of the present case.</w:t>
      </w:r>
      <w:r/>
    </w:p>
    <w:p>
      <w:pPr>
        <w:pStyle w:val="ListBullet"/>
        <w:spacing w:line="276" w:lineRule="auto" w:before="40" w:after="80"/>
        <w:ind w:left="720" w:hanging="360"/>
      </w:pPr>
      <w:r/>
      <w:r>
        <w:t>Explore career changes through classes, conversations, side projects, and temporary assignments; afterward, ask what met expectations, what surprised you, and what gave or drained energy.</w:t>
      </w:r>
      <w:r/>
    </w:p>
    <w:p>
      <w:pPr>
        <w:pStyle w:val="ListBullet"/>
        <w:spacing w:line="276" w:lineRule="auto" w:before="40" w:after="80"/>
        <w:ind w:left="720" w:hanging="360"/>
      </w:pPr>
      <w:r/>
      <w:r>
        <w:t>When confronting pain or adversity, address the present problem without automatically projecting every possible future consequence.</w:t>
      </w:r>
      <w:r/>
    </w:p>
    <w:p>
      <w:pPr>
        <w:pStyle w:val="ListBullet"/>
        <w:spacing w:line="276" w:lineRule="auto" w:before="40" w:after="80"/>
        <w:ind w:left="720" w:hanging="360"/>
      </w:pPr>
      <w:r/>
      <w:r>
        <w:t>After an intense shared experience, seek collective decompression with people who understand it rather than expecting an immediate return to ordinary life.</w:t>
      </w:r>
      <w:r/>
    </w:p>
    <w:p>
      <w:pPr>
        <w:pStyle w:val="ListBullet"/>
        <w:spacing w:line="276" w:lineRule="auto" w:before="40" w:after="80"/>
        <w:ind w:left="720" w:hanging="360"/>
      </w:pPr>
      <w:r/>
      <w:r>
        <w:t xml:space="preserve">Use autogenic relaxation—practiced sensations of warmth and heaviness—to reduce pre-performance arousal; the source specifically points readers to Chapter 3 of </w:t>
      </w:r>
      <w:r>
        <w:rPr>
          <w:i/>
        </w:rPr>
        <w:t>Peak Performance</w:t>
      </w:r>
      <w:r>
        <w:t>.</w:t>
      </w:r>
      <w:r/>
    </w:p>
    <w:p>
      <w:pPr>
        <w:pStyle w:val="ListBullet"/>
        <w:spacing w:line="276" w:lineRule="auto" w:before="40" w:after="80"/>
        <w:ind w:left="720" w:hanging="360"/>
      </w:pPr>
      <w:r/>
      <w:r>
        <w:t>Read a short Borges story before creative work if a compact disruption of habitual thinking helps generate new associations.</w:t>
      </w:r>
      <w:r/>
      <w:r/>
    </w:p>
    <w:p>
      <w:r/>
      <w:r>
        <w:rPr>
          <w:b/>
        </w:rPr>
        <w:t>Analyst implications</w:t>
      </w:r>
      <w:r/>
      <w:r/>
    </w:p>
    <w:p>
      <w:pPr>
        <w:pStyle w:val="ListBullet"/>
        <w:spacing w:line="276" w:lineRule="auto" w:before="40" w:after="80"/>
        <w:ind w:left="720" w:hanging="360"/>
      </w:pPr>
      <w:r/>
      <w:r>
        <w:t>Treat the list as a map of questions rather than a single evidence hierarchy: verify empirical claims separately from literary or philosophical insights.</w:t>
      </w:r>
      <w:r/>
    </w:p>
    <w:p>
      <w:pPr>
        <w:pStyle w:val="ListBullet"/>
        <w:spacing w:line="276" w:lineRule="auto" w:before="40" w:after="80"/>
        <w:ind w:left="720" w:hanging="360"/>
      </w:pPr>
      <w:r/>
      <w:r>
        <w:t>Audit any important metric by asking what objective it represents, what it omits, and how people might optimize the number while damaging the underlying goal.</w:t>
      </w:r>
      <w:r/>
    </w:p>
    <w:p>
      <w:pPr>
        <w:pStyle w:val="ListBullet"/>
        <w:spacing w:line="276" w:lineRule="auto" w:before="40" w:after="80"/>
        <w:ind w:left="720" w:hanging="360"/>
      </w:pPr>
      <w:r/>
      <w:r>
        <w:t>Build explicit stopping rules for emotionally charged work—trading, negotiation, hiring, publishing, or conflict—before “tilt” makes self-assessment unreliable.</w:t>
      </w:r>
      <w:r/>
    </w:p>
    <w:p>
      <w:pPr>
        <w:pStyle w:val="ListBullet"/>
        <w:spacing w:line="276" w:lineRule="auto" w:before="40" w:after="80"/>
        <w:ind w:left="720" w:hanging="360"/>
      </w:pPr>
      <w:r/>
      <w:r>
        <w:t>Pair experimentation with downside limits: small career or creative trials preserve optionality while still producing the experience needed for self-knowledge.</w:t>
      </w:r>
      <w:r/>
    </w:p>
    <w:p>
      <w:pPr>
        <w:pStyle w:val="ListBullet"/>
        <w:spacing w:line="276" w:lineRule="auto" w:before="40" w:after="80"/>
        <w:ind w:left="720" w:hanging="360"/>
      </w:pPr>
      <w:r/>
      <w:r>
        <w:t>Distinguish constraints that can be reframed from physical or structural limits that require intervention; psychological techniques should not be used to ignore danger, illness, or unsafe working conditions.</w:t>
      </w:r>
      <w:r/>
      <w:r/>
    </w:p>
    <w:p>
      <w:pPr>
        <w:pStyle w:val="Heading2"/>
        <w:spacing w:before="280" w:after="120"/>
      </w:pPr>
      <w:r>
        <w:t>References</w:t>
      </w:r>
      <w:r/>
      <w:r/>
    </w:p>
    <w:p>
      <w:pPr>
        <w:pStyle w:val="ListBullet"/>
        <w:spacing w:line="276" w:lineRule="auto" w:before="40" w:after="80"/>
        <w:ind w:left="720" w:hanging="360"/>
      </w:pPr>
      <w:r/>
      <w:r>
        <w:rPr>
          <w:b/>
        </w:rPr>
        <w:t xml:space="preserve">Susan Cain, </w:t>
      </w:r>
      <w:r>
        <w:rPr>
          <w:b/>
          <w:i/>
        </w:rPr>
        <w:t>Quiet: The Power of Introverts in a World That Can’t Stop Talking</w:t>
      </w:r>
      <w:r>
        <w:rPr>
          <w:b/>
        </w:rPr>
        <w:t>:</w:t>
      </w:r>
      <w:r>
        <w:t xml:space="preserve"> A framework for understanding differences in stimulation, social preference, and recovery.</w:t>
      </w:r>
      <w:r/>
    </w:p>
    <w:p>
      <w:pPr>
        <w:pStyle w:val="ListBullet"/>
        <w:spacing w:line="276" w:lineRule="auto" w:before="40" w:after="80"/>
        <w:ind w:left="720" w:hanging="360"/>
      </w:pPr>
      <w:r/>
      <w:r>
        <w:rPr>
          <w:b/>
        </w:rPr>
        <w:t xml:space="preserve">Safi Bahcall, </w:t>
      </w:r>
      <w:r>
        <w:rPr>
          <w:b/>
          <w:i/>
        </w:rPr>
        <w:t>Loonshots</w:t>
      </w:r>
      <w:r>
        <w:rPr>
          <w:b/>
        </w:rPr>
        <w:t>:</w:t>
      </w:r>
      <w:r>
        <w:t xml:space="preserve"> Explores breakthrough ideas and the organizational “phase changes” that can turn aligned groups into competing silos.</w:t>
      </w:r>
      <w:r/>
    </w:p>
    <w:p>
      <w:pPr>
        <w:pStyle w:val="ListBullet"/>
        <w:spacing w:line="276" w:lineRule="auto" w:before="40" w:after="80"/>
        <w:ind w:left="720" w:hanging="360"/>
      </w:pPr>
      <w:r/>
      <w:r>
        <w:rPr>
          <w:b/>
        </w:rPr>
        <w:t xml:space="preserve">John Williams, </w:t>
      </w:r>
      <w:r>
        <w:rPr>
          <w:b/>
          <w:i/>
        </w:rPr>
        <w:t>Stoner</w:t>
      </w:r>
      <w:r>
        <w:rPr>
          <w:b/>
        </w:rPr>
        <w:t>:</w:t>
      </w:r>
      <w:r>
        <w:t xml:space="preserve"> A novel about ordinary life, disappointment, and sustaining devotion to one’s craft.</w:t>
      </w:r>
      <w:r/>
    </w:p>
    <w:p>
      <w:pPr>
        <w:pStyle w:val="ListBullet"/>
        <w:spacing w:line="276" w:lineRule="auto" w:before="40" w:after="80"/>
        <w:ind w:left="720" w:hanging="360"/>
      </w:pPr>
      <w:r/>
      <w:r>
        <w:rPr>
          <w:b/>
        </w:rPr>
        <w:t xml:space="preserve">Malcolm Gladwell, </w:t>
      </w:r>
      <w:r>
        <w:rPr>
          <w:b/>
          <w:i/>
        </w:rPr>
        <w:t>Talking to Strangers</w:t>
      </w:r>
      <w:r>
        <w:rPr>
          <w:b/>
        </w:rPr>
        <w:t>:</w:t>
      </w:r>
      <w:r>
        <w:t xml:space="preserve"> The source highlights its discussion of “coupled” behavior and interventions tied to specific contexts.</w:t>
      </w:r>
      <w:r/>
    </w:p>
    <w:p>
      <w:pPr>
        <w:pStyle w:val="ListBullet"/>
        <w:spacing w:line="276" w:lineRule="auto" w:before="40" w:after="80"/>
        <w:ind w:left="720" w:hanging="360"/>
      </w:pPr>
      <w:r/>
      <w:r>
        <w:rPr>
          <w:b/>
        </w:rPr>
        <w:t xml:space="preserve">Bernd Heinrich, </w:t>
      </w:r>
      <w:r>
        <w:rPr>
          <w:b/>
          <w:i/>
        </w:rPr>
        <w:t>Why We Run</w:t>
      </w:r>
      <w:r>
        <w:rPr>
          <w:b/>
        </w:rPr>
        <w:t xml:space="preserve">; Alex Hutchinson, </w:t>
      </w:r>
      <w:r>
        <w:rPr>
          <w:b/>
          <w:i/>
        </w:rPr>
        <w:t>Endure</w:t>
      </w:r>
      <w:r>
        <w:rPr>
          <w:b/>
        </w:rPr>
        <w:t>:</w:t>
      </w:r>
      <w:r>
        <w:t xml:space="preserve"> Complementary accounts of endurance through animal biology, physiology, expectation, and meaning.</w:t>
      </w:r>
      <w:r/>
    </w:p>
    <w:p>
      <w:pPr>
        <w:pStyle w:val="ListBullet"/>
        <w:spacing w:line="276" w:lineRule="auto" w:before="40" w:after="80"/>
        <w:ind w:left="720" w:hanging="360"/>
      </w:pPr>
      <w:r/>
      <w:r>
        <w:rPr>
          <w:b/>
        </w:rPr>
        <w:t xml:space="preserve">Gloria Mark, </w:t>
      </w:r>
      <w:r>
        <w:rPr>
          <w:b/>
          <w:i/>
        </w:rPr>
        <w:t>Attention Span</w:t>
      </w:r>
      <w:r>
        <w:rPr>
          <w:b/>
        </w:rPr>
        <w:t xml:space="preserve">; Cal Newport, </w:t>
      </w:r>
      <w:r>
        <w:rPr>
          <w:b/>
          <w:i/>
        </w:rPr>
        <w:t>Slow Productivity</w:t>
      </w:r>
      <w:r>
        <w:rPr>
          <w:b/>
        </w:rPr>
        <w:t>:</w:t>
      </w:r>
      <w:r>
        <w:t xml:space="preserve"> Research and argument concerning fragmented work, attention, seasonality, and accomplishment without burnout.</w:t>
      </w:r>
      <w:r/>
    </w:p>
    <w:p>
      <w:pPr>
        <w:pStyle w:val="ListBullet"/>
        <w:spacing w:line="276" w:lineRule="auto" w:before="40" w:after="80"/>
        <w:ind w:left="720" w:hanging="360"/>
      </w:pPr>
      <w:r/>
      <w:r>
        <w:rPr>
          <w:b/>
        </w:rPr>
        <w:t xml:space="preserve">Maria Konnikova, </w:t>
      </w:r>
      <w:r>
        <w:rPr>
          <w:b/>
          <w:i/>
        </w:rPr>
        <w:t>The Biggest Bluff</w:t>
      </w:r>
      <w:r>
        <w:rPr>
          <w:b/>
        </w:rPr>
        <w:t>:</w:t>
      </w:r>
      <w:r>
        <w:t xml:space="preserve"> Uses poker to explore attention, uncertainty, emotional self-monitoring, and decision quality.</w:t>
      </w:r>
      <w:r/>
    </w:p>
    <w:p>
      <w:pPr>
        <w:pStyle w:val="ListBullet"/>
        <w:spacing w:line="276" w:lineRule="auto" w:before="40" w:after="80"/>
        <w:ind w:left="720" w:hanging="360"/>
      </w:pPr>
      <w:r/>
      <w:r>
        <w:rPr>
          <w:b/>
        </w:rPr>
        <w:t xml:space="preserve">Oliver Burkeman, </w:t>
      </w:r>
      <w:r>
        <w:rPr>
          <w:b/>
          <w:i/>
        </w:rPr>
        <w:t>Four Thousand Weeks</w:t>
      </w:r>
      <w:r>
        <w:rPr>
          <w:b/>
        </w:rPr>
        <w:t>:</w:t>
      </w:r>
      <w:r>
        <w:t xml:space="preserve"> A philosophical rejection of unlimited productivity in favor of accepting mortality and choosing what to neglect.</w:t>
      </w:r>
      <w:r/>
    </w:p>
    <w:p>
      <w:pPr>
        <w:pStyle w:val="ListBullet"/>
        <w:spacing w:line="276" w:lineRule="auto" w:before="40" w:after="80"/>
        <w:ind w:left="720" w:hanging="360"/>
      </w:pPr>
      <w:r/>
      <w:r>
        <w:rPr>
          <w:b/>
        </w:rPr>
        <w:t xml:space="preserve">Daniel Kahneman, </w:t>
      </w:r>
      <w:r>
        <w:rPr>
          <w:b/>
          <w:i/>
        </w:rPr>
        <w:t>Thinking, Fast and Slow</w:t>
      </w:r>
      <w:r>
        <w:rPr>
          <w:b/>
        </w:rPr>
        <w:t>:</w:t>
      </w:r>
      <w:r>
        <w:t xml:space="preserve"> Introduces fast and deliberative cognition, anchoring, and other recurring judgment errors.</w:t>
      </w:r>
      <w:r/>
    </w:p>
    <w:p>
      <w:pPr>
        <w:pStyle w:val="ListBullet"/>
        <w:spacing w:line="276" w:lineRule="auto" w:before="40" w:after="80"/>
        <w:ind w:left="720" w:hanging="360"/>
      </w:pPr>
      <w:r/>
      <w:r>
        <w:rPr>
          <w:b/>
        </w:rPr>
        <w:t xml:space="preserve">Robin M. Hogarth, </w:t>
      </w:r>
      <w:r>
        <w:rPr>
          <w:b/>
          <w:i/>
        </w:rPr>
        <w:t>Educating Intuition</w:t>
      </w:r>
      <w:r>
        <w:rPr>
          <w:b/>
        </w:rPr>
        <w:t>:</w:t>
      </w:r>
      <w:r>
        <w:t xml:space="preserve"> Develops the distinction between kind and wicked learning environments and explains when experience improves judgment.</w:t>
      </w:r>
      <w:r/>
    </w:p>
    <w:p>
      <w:pPr>
        <w:pStyle w:val="ListBullet"/>
        <w:spacing w:line="276" w:lineRule="auto" w:before="40" w:after="80"/>
        <w:ind w:left="720" w:hanging="360"/>
      </w:pPr>
      <w:r/>
      <w:r>
        <w:rPr>
          <w:b/>
        </w:rPr>
        <w:t xml:space="preserve">Philip E. Tetlock, </w:t>
      </w:r>
      <w:r>
        <w:rPr>
          <w:b/>
          <w:i/>
        </w:rPr>
        <w:t>Expert Political Judgment</w:t>
      </w:r>
      <w:r>
        <w:rPr>
          <w:b/>
        </w:rPr>
        <w:t xml:space="preserve">; Tetlock and Dan Gardner, </w:t>
      </w:r>
      <w:r>
        <w:rPr>
          <w:b/>
          <w:i/>
        </w:rPr>
        <w:t>Superforecasting</w:t>
      </w:r>
      <w:r>
        <w:rPr>
          <w:b/>
        </w:rPr>
        <w:t>:</w:t>
      </w:r>
      <w:r>
        <w:t xml:space="preserve"> Research on forecast accuracy, intellectual updating, reference classes, and collaborative prediction.</w:t>
      </w:r>
      <w:r/>
    </w:p>
    <w:p>
      <w:pPr>
        <w:pStyle w:val="ListBullet"/>
        <w:spacing w:line="276" w:lineRule="auto" w:before="40" w:after="80"/>
        <w:ind w:left="720" w:hanging="360"/>
      </w:pPr>
      <w:r/>
      <w:r>
        <w:rPr>
          <w:b/>
        </w:rPr>
        <w:t xml:space="preserve">Leo Tolstoy, </w:t>
      </w:r>
      <w:r>
        <w:rPr>
          <w:b/>
          <w:i/>
        </w:rPr>
        <w:t>War and Peace</w:t>
      </w:r>
      <w:r>
        <w:rPr>
          <w:b/>
        </w:rPr>
        <w:t>:</w:t>
      </w:r>
      <w:r>
        <w:t xml:space="preserve"> Both a major novel and an argument against reducing history to the intentions of celebrated leaders.</w:t>
      </w:r>
      <w:r/>
    </w:p>
    <w:p>
      <w:pPr>
        <w:pStyle w:val="ListBullet"/>
        <w:spacing w:line="276" w:lineRule="auto" w:before="40" w:after="80"/>
        <w:ind w:left="720" w:hanging="360"/>
      </w:pPr>
      <w:r/>
      <w:r>
        <w:rPr>
          <w:b/>
        </w:rPr>
        <w:t xml:space="preserve">Jill Lepore, </w:t>
      </w:r>
      <w:r>
        <w:rPr>
          <w:b/>
          <w:i/>
        </w:rPr>
        <w:t>If Then: How the Simulmatics Corporation Invented the Future</w:t>
      </w:r>
      <w:r>
        <w:rPr>
          <w:b/>
        </w:rPr>
        <w:t>:</w:t>
      </w:r>
      <w:r>
        <w:t xml:space="preserve"> A history of data-driven prediction and the danger of confusing measurable proxies with important realities.</w:t>
      </w:r>
      <w:r/>
    </w:p>
    <w:p>
      <w:pPr>
        <w:pStyle w:val="ListBullet"/>
        <w:spacing w:line="276" w:lineRule="auto" w:before="40" w:after="80"/>
        <w:ind w:left="720" w:hanging="360"/>
      </w:pPr>
      <w:r/>
      <w:r>
        <w:rPr>
          <w:b/>
        </w:rPr>
        <w:t xml:space="preserve">Charles Garfield and Hal Zina Bennett, </w:t>
      </w:r>
      <w:r>
        <w:rPr>
          <w:b/>
          <w:i/>
        </w:rPr>
        <w:t>Peak Performance</w:t>
      </w:r>
      <w:r>
        <w:rPr>
          <w:b/>
        </w:rPr>
        <w:t>:</w:t>
      </w:r>
      <w:r>
        <w:t xml:space="preserve"> The source recommends Chapter 3 for voluntary relaxation and autogenic training.</w:t>
      </w:r>
      <w:r/>
    </w:p>
    <w:p>
      <w:pPr>
        <w:pStyle w:val="ListBullet"/>
        <w:spacing w:line="276" w:lineRule="auto" w:before="40" w:after="80"/>
        <w:ind w:left="720" w:hanging="360"/>
      </w:pPr>
      <w:r/>
      <w:r>
        <w:rPr>
          <w:b/>
        </w:rPr>
        <w:t xml:space="preserve">Ronald Melzack and Patrick D. Wall, </w:t>
      </w:r>
      <w:r>
        <w:rPr>
          <w:b/>
          <w:i/>
        </w:rPr>
        <w:t>The Challenge of Pain</w:t>
      </w:r>
      <w:r>
        <w:rPr>
          <w:b/>
        </w:rPr>
        <w:t>:</w:t>
      </w:r>
      <w:r>
        <w:t xml:space="preserve"> Presented as an account of pain as a subject in its own right and of catastrophizing as an amplifier of suffering.</w:t>
      </w:r>
      <w:r/>
    </w:p>
    <w:p>
      <w:pPr>
        <w:pStyle w:val="ListBullet"/>
        <w:spacing w:line="276" w:lineRule="auto" w:before="40" w:after="80"/>
        <w:ind w:left="720" w:hanging="360"/>
      </w:pPr>
      <w:r/>
      <w:r>
        <w:rPr>
          <w:b/>
        </w:rPr>
        <w:t>Epictetus:</w:t>
      </w:r>
      <w:r>
        <w:t xml:space="preserve"> A central Stoic source on distinguishing external events from the reactions and judgments one can govern.</w:t>
      </w:r>
      <w:r/>
    </w:p>
    <w:p>
      <w:pPr>
        <w:pStyle w:val="ListBullet"/>
        <w:spacing w:line="276" w:lineRule="auto" w:before="40" w:after="80"/>
        <w:ind w:left="720" w:hanging="360"/>
      </w:pPr>
      <w:r/>
      <w:r>
        <w:rPr>
          <w:b/>
        </w:rPr>
        <w:t xml:space="preserve">Herminia Ibarra, </w:t>
      </w:r>
      <w:r>
        <w:rPr>
          <w:b/>
          <w:i/>
        </w:rPr>
        <w:t>Working Identity</w:t>
      </w:r>
      <w:r>
        <w:rPr>
          <w:b/>
        </w:rPr>
        <w:t xml:space="preserve">; Todd Rose and Ogi Ogas, </w:t>
      </w:r>
      <w:r>
        <w:rPr>
          <w:b/>
          <w:i/>
        </w:rPr>
        <w:t>Dark Horse</w:t>
      </w:r>
      <w:r>
        <w:rPr>
          <w:b/>
        </w:rPr>
        <w:t>:</w:t>
      </w:r>
      <w:r>
        <w:t xml:space="preserve"> Research-based accounts of career transition through experiments, reflection, and individualized paths to fulfillment.</w:t>
      </w:r>
      <w:r/>
    </w:p>
    <w:p>
      <w:pPr>
        <w:pStyle w:val="ListBullet"/>
        <w:spacing w:line="276" w:lineRule="auto" w:before="40" w:after="80"/>
        <w:ind w:left="720" w:hanging="360"/>
      </w:pPr>
      <w:r/>
      <w:r>
        <w:rPr>
          <w:b/>
        </w:rPr>
        <w:t xml:space="preserve">Jhumpa Lahiri, </w:t>
      </w:r>
      <w:r>
        <w:rPr>
          <w:b/>
          <w:i/>
        </w:rPr>
        <w:t>In Other Words</w:t>
      </w:r>
      <w:r>
        <w:rPr>
          <w:b/>
        </w:rPr>
        <w:t>:</w:t>
      </w:r>
      <w:r>
        <w:t xml:space="preserve"> A memoir of abandoning mastery in English to write in Italian and recover the creative experience of being a beginner.</w:t>
      </w:r>
      <w:r/>
    </w:p>
    <w:p>
      <w:pPr>
        <w:pStyle w:val="ListBullet"/>
        <w:spacing w:line="276" w:lineRule="auto" w:before="40" w:after="80"/>
        <w:ind w:left="720" w:hanging="360"/>
      </w:pPr>
      <w:r/>
      <w:r>
        <w:rPr>
          <w:b/>
        </w:rPr>
        <w:t xml:space="preserve">Dante Alighieri, </w:t>
      </w:r>
      <w:r>
        <w:rPr>
          <w:b/>
          <w:i/>
        </w:rPr>
        <w:t>The Divine Comedy</w:t>
      </w:r>
      <w:r>
        <w:rPr>
          <w:b/>
        </w:rPr>
        <w:t xml:space="preserve">; Homer, </w:t>
      </w:r>
      <w:r>
        <w:rPr>
          <w:b/>
          <w:i/>
        </w:rPr>
        <w:t>The Odyssey</w:t>
      </w:r>
      <w:r>
        <w:rPr>
          <w:b/>
        </w:rPr>
        <w:t>:</w:t>
      </w:r>
      <w:r>
        <w:t xml:space="preserve"> Foundational journeys centered respectively on mentorship and values, and on transformative homecoming—Greek </w:t>
      </w:r>
      <w:r>
        <w:rPr>
          <w:i/>
        </w:rPr>
        <w:t>nostos</w:t>
      </w:r>
      <w:r>
        <w:t>.</w:t>
      </w:r>
      <w:r/>
    </w:p>
    <w:p>
      <w:pPr>
        <w:pStyle w:val="ListBullet"/>
        <w:spacing w:line="276" w:lineRule="auto" w:before="40" w:after="80"/>
        <w:ind w:left="720" w:hanging="360"/>
      </w:pPr>
      <w:r/>
      <w:r>
        <w:rPr>
          <w:b/>
        </w:rPr>
        <w:t xml:space="preserve">Matsuo Bashō, </w:t>
      </w:r>
      <w:r>
        <w:rPr>
          <w:b/>
          <w:i/>
        </w:rPr>
        <w:t>The Narrow Road to the Deep North</w:t>
      </w:r>
      <w:r>
        <w:rPr>
          <w:b/>
        </w:rPr>
        <w:t xml:space="preserve">; Giovanni Boccaccio, </w:t>
      </w:r>
      <w:r>
        <w:rPr>
          <w:b/>
          <w:i/>
        </w:rPr>
        <w:t>The Decameron</w:t>
      </w:r>
      <w:r>
        <w:rPr>
          <w:b/>
        </w:rPr>
        <w:t>:</w:t>
      </w:r>
      <w:r>
        <w:t xml:space="preserve"> Works about investing places with historical meaning and preserving social life through storytelling.</w:t>
      </w:r>
      <w:r/>
    </w:p>
    <w:p>
      <w:pPr>
        <w:pStyle w:val="ListBullet"/>
        <w:spacing w:line="276" w:lineRule="auto" w:before="40" w:after="80"/>
        <w:ind w:left="720" w:hanging="360"/>
      </w:pPr>
      <w:r/>
      <w:r>
        <w:rPr>
          <w:b/>
        </w:rPr>
        <w:t xml:space="preserve">Sebastian Junger, </w:t>
      </w:r>
      <w:r>
        <w:rPr>
          <w:b/>
          <w:i/>
        </w:rPr>
        <w:t>Freedom</w:t>
      </w:r>
      <w:r>
        <w:rPr>
          <w:b/>
        </w:rPr>
        <w:t>:</w:t>
      </w:r>
      <w:r>
        <w:t xml:space="preserve"> A meditation on freedom, interdependence, walking, and collective decompression after war.</w:t>
      </w:r>
      <w:r/>
    </w:p>
    <w:p>
      <w:pPr>
        <w:pStyle w:val="ListBullet"/>
        <w:spacing w:line="276" w:lineRule="auto" w:before="40" w:after="80"/>
        <w:ind w:left="720" w:hanging="360"/>
      </w:pPr>
      <w:r/>
      <w:r>
        <w:rPr>
          <w:b/>
        </w:rPr>
        <w:t xml:space="preserve">Jun’ichirō Tanizaki, </w:t>
      </w:r>
      <w:r>
        <w:rPr>
          <w:b/>
          <w:i/>
        </w:rPr>
        <w:t>In Praise of Shadows</w:t>
      </w:r>
      <w:r>
        <w:rPr>
          <w:b/>
        </w:rPr>
        <w:t>:</w:t>
      </w:r>
      <w:r>
        <w:t xml:space="preserve"> An influential meditation on Japanese aesthetics, architecture, subtlety, and the costs of imposing Western design assumptions.</w:t>
      </w:r>
      <w:r/>
    </w:p>
    <w:p>
      <w:pPr>
        <w:pStyle w:val="ListBullet"/>
        <w:spacing w:line="276" w:lineRule="auto" w:before="40" w:after="80"/>
        <w:ind w:left="720" w:hanging="360"/>
      </w:pPr>
      <w:r/>
      <w:r>
        <w:rPr>
          <w:b/>
        </w:rPr>
        <w:t xml:space="preserve">Émile Durkheim, </w:t>
      </w:r>
      <w:r>
        <w:rPr>
          <w:b/>
          <w:i/>
        </w:rPr>
        <w:t>Suicide</w:t>
      </w:r>
      <w:r>
        <w:rPr>
          <w:b/>
        </w:rPr>
        <w:t>:</w:t>
      </w:r>
      <w:r>
        <w:t xml:space="preserve"> A foundational sociological argument that suicide rates reflect social integration and disruption, not only individual psychology.</w:t>
      </w:r>
      <w:r/>
    </w:p>
    <w:p>
      <w:pPr>
        <w:pStyle w:val="ListBullet"/>
        <w:spacing w:line="276" w:lineRule="auto" w:before="40" w:after="80"/>
        <w:ind w:left="720" w:hanging="360"/>
      </w:pPr>
      <w:r/>
      <w:r>
        <w:rPr>
          <w:b/>
        </w:rPr>
        <w:t xml:space="preserve">Friedrich Nietzsche, </w:t>
      </w:r>
      <w:r>
        <w:rPr>
          <w:b/>
          <w:i/>
        </w:rPr>
        <w:t>Thus Spoke Zarathustra</w:t>
      </w:r>
      <w:r>
        <w:rPr>
          <w:b/>
        </w:rPr>
        <w:t xml:space="preserve">; Todd May, </w:t>
      </w:r>
      <w:r>
        <w:rPr>
          <w:b/>
          <w:i/>
        </w:rPr>
        <w:t>A Significant Life</w:t>
      </w:r>
      <w:r>
        <w:rPr>
          <w:b/>
        </w:rPr>
        <w:t xml:space="preserve">; Susan Wolf, </w:t>
      </w:r>
      <w:r>
        <w:rPr>
          <w:b/>
          <w:i/>
        </w:rPr>
        <w:t>Meaning in Life and Why It Matters</w:t>
      </w:r>
      <w:r>
        <w:rPr>
          <w:b/>
        </w:rPr>
        <w:t>:</w:t>
      </w:r>
      <w:r>
        <w:t xml:space="preserve"> Complementary philosophical approaches to commitment, value, and meaningful activity.</w:t>
      </w:r>
      <w:r/>
    </w:p>
    <w:p>
      <w:pPr>
        <w:pStyle w:val="ListBullet"/>
        <w:spacing w:line="276" w:lineRule="auto" w:before="40" w:after="80"/>
        <w:ind w:left="720" w:hanging="360"/>
      </w:pPr>
      <w:r/>
      <w:r>
        <w:rPr>
          <w:b/>
        </w:rPr>
        <w:t xml:space="preserve">Brian Greene, </w:t>
      </w:r>
      <w:r>
        <w:rPr>
          <w:b/>
          <w:i/>
        </w:rPr>
        <w:t>Until the End of Time</w:t>
      </w:r>
      <w:r>
        <w:rPr>
          <w:b/>
        </w:rPr>
        <w:t>:</w:t>
      </w:r>
      <w:r>
        <w:t xml:space="preserve"> Connects entropy and the universe’s long-term future with human creativity, mortality, and legacy.</w:t>
      </w:r>
      <w:r/>
    </w:p>
    <w:p>
      <w:pPr>
        <w:pStyle w:val="ListBullet"/>
        <w:spacing w:line="276" w:lineRule="auto" w:before="40" w:after="80"/>
        <w:ind w:left="720" w:hanging="360"/>
      </w:pPr>
      <w:r/>
      <w:r>
        <w:rPr>
          <w:b/>
        </w:rPr>
        <w:t xml:space="preserve">Jorge Luis Borges, </w:t>
      </w:r>
      <w:r>
        <w:rPr>
          <w:b/>
          <w:i/>
        </w:rPr>
        <w:t>Collected Fictions</w:t>
      </w:r>
      <w:r>
        <w:rPr>
          <w:b/>
        </w:rPr>
        <w:t>:</w:t>
      </w:r>
      <w:r>
        <w:t xml:space="preserve"> Includes “The Library of Babel,” “The Secret Miracle,” “The Circular Ruins,” and the map-territory parable; recommended as a catalyst for metaphysical reflection and creativity.</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