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32"/>
        </w:rPr>
        <w:t>PowerfulJRE - Joe Rogan Experience #2549 - Jared Diamond</w:t>
      </w:r>
    </w:p>
    <w:p>
      <w:r>
        <w:rPr>
          <w:b/>
        </w:rPr>
        <w:t xml:space="preserve">Source: </w:t>
      </w:r>
      <w:r>
        <w:t>https://youtu.be/t6Jrww8kG24</w:t>
      </w:r>
    </w:p>
    <w:p>
      <w:r>
        <w:rPr>
          <w:b/>
        </w:rPr>
        <w:t xml:space="preserve">Date: </w:t>
      </w:r>
      <w:r>
        <w:t>2026-09-03</w:t>
      </w:r>
    </w:p>
    <w:p>
      <w:r>
        <w:rPr>
          <w:b/>
        </w:rPr>
        <w:t xml:space="preserve">Prompt: </w:t>
      </w:r>
      <w:r>
        <w:t>extract_knowledge.md</w:t>
      </w:r>
    </w:p>
    <w:p>
      <w:r>
        <w:rPr>
          <w:b/>
        </w:rPr>
        <w:t xml:space="preserve">Model: </w:t>
      </w:r>
      <w:r>
        <w:t>openai/gpt-5.6-sol</w:t>
      </w:r>
    </w:p>
    <w:p>
      <w:r>
        <w:t>---</w:t>
      </w:r>
    </w:p>
    <w:p>
      <w:pPr>
        <w:pStyle w:val="Heading2"/>
        <w:spacing w:before="280" w:after="120"/>
      </w:pPr>
      <w:r>
        <w:t>One-Sentence Takeaway</w:t>
      </w:r>
      <w:r/>
    </w:p>
    <w:p>
      <w:r/>
      <w:r>
        <w:t>Jared Diamond argues that exceptional leaders can redirect history, but only when their abilities meet unusually favorable circumstances, resources, institutions, and timing.</w:t>
      </w:r>
      <w:r/>
    </w:p>
    <w:p>
      <w:pPr>
        <w:pStyle w:val="Heading2"/>
        <w:spacing w:before="280" w:after="120"/>
      </w:pPr>
      <w:r>
        <w:t>Executive Brief</w:t>
      </w:r>
      <w:r/>
    </w:p>
    <w:p>
      <w:r/>
      <w:r>
        <w:t>This Joe Rogan interview with Jared Diamond ranges from leadership and religion to writing systems, language learning, cultural difference, and the history of kuru in New Guinea.</w:t>
      </w:r>
      <w:r/>
      <w:r/>
    </w:p>
    <w:p>
      <w:pPr>
        <w:pStyle w:val="ListBullet"/>
        <w:spacing w:line="276" w:lineRule="auto" w:before="40" w:after="80"/>
        <w:ind w:left="720" w:hanging="360"/>
      </w:pPr>
      <w:r/>
      <w:r>
        <w:t>Diamond rejects a choice between “great person” and structural explanations: Genghis Khan, Winston Churchill, Jeff Bezos, and others mattered because distinctive abilities coincided with enabling conditions.</w:t>
      </w:r>
      <w:r/>
    </w:p>
    <w:p>
      <w:pPr>
        <w:pStyle w:val="ListBullet"/>
        <w:spacing w:line="276" w:lineRule="auto" w:before="40" w:after="80"/>
        <w:ind w:left="720" w:hanging="360"/>
      </w:pPr>
      <w:r/>
      <w:r>
        <w:t>Some developments—stock markets, mobile phones, online retail—may have emerged without their famous pioneers, but particular leaders gave them a durable form, strategy, or design.</w:t>
      </w:r>
      <w:r/>
    </w:p>
    <w:p>
      <w:pPr>
        <w:pStyle w:val="ListBullet"/>
        <w:spacing w:line="276" w:lineRule="auto" w:before="40" w:after="80"/>
        <w:ind w:left="720" w:hanging="360"/>
      </w:pPr>
      <w:r/>
      <w:r>
        <w:t>Religions spread not only through theology but through charisma, organization, social cohesion, demographics, literacy, military power, and the economic engine of the societies carrying them.</w:t>
      </w:r>
      <w:r/>
    </w:p>
    <w:p>
      <w:pPr>
        <w:pStyle w:val="ListBullet"/>
        <w:spacing w:line="276" w:lineRule="auto" w:before="40" w:after="80"/>
        <w:ind w:left="720" w:hanging="360"/>
      </w:pPr>
      <w:r/>
      <w:r>
        <w:t>Translation can approximate meaning but never preserve everything; vocabulary, grammar, sound, word order, and cultural associations make perfect equivalence between languages impossible.</w:t>
      </w:r>
      <w:r/>
    </w:p>
    <w:p>
      <w:pPr>
        <w:pStyle w:val="ListBullet"/>
        <w:spacing w:line="276" w:lineRule="auto" w:before="40" w:after="80"/>
        <w:ind w:left="720" w:hanging="360"/>
      </w:pPr>
      <w:r/>
      <w:r>
        <w:t>Writing systems can disappear, diffuse as ideas, or be deliberately invented, as illustrated by Linear B, the Cherokee syllabary, and King Sejong’s creation of Hangul.</w:t>
      </w:r>
      <w:r/>
    </w:p>
    <w:p>
      <w:pPr>
        <w:pStyle w:val="ListBullet"/>
        <w:spacing w:line="276" w:lineRule="auto" w:before="40" w:after="80"/>
        <w:ind w:left="720" w:hanging="360"/>
      </w:pPr>
      <w:r/>
      <w:r>
        <w:t>Diamond describes Tok Pisin and other creoles as evidence that children can rapidly turn a stripped-down contact language into a complete language capable of expressing the full range of human experience.</w:t>
      </w:r>
      <w:r/>
    </w:p>
    <w:p>
      <w:pPr>
        <w:pStyle w:val="ListBullet"/>
        <w:spacing w:line="276" w:lineRule="auto" w:before="40" w:after="80"/>
        <w:ind w:left="720" w:hanging="360"/>
      </w:pPr>
      <w:r/>
      <w:r>
        <w:t>His New Guinea experiences illustrate both radical cultural variation and biological consequences: Fore mortuary cannibalism reportedly transmitted kuru, a prion disease capable of remaining latent for decades.</w:t>
      </w:r>
      <w:r/>
      <w:r/>
    </w:p>
    <w:p>
      <w:pPr>
        <w:pStyle w:val="Heading2"/>
        <w:spacing w:before="280" w:after="120"/>
      </w:pPr>
      <w:r>
        <w:t>Core Argument</w:t>
      </w:r>
      <w:r/>
    </w:p>
    <w:p>
      <w:r/>
      <w:r>
        <w:rPr>
          <w:b/>
        </w:rPr>
        <w:t>Central thesis or narrative:</w:t>
      </w:r>
      <w:r>
        <w:t xml:space="preserve"> Diamond’s main argument is that leaders make the greatest difference when personal qualities—foresight, charisma, organization, strategy, or restraint—intersect with a historical opening. The interview broadens this into a study of how ideas and institutions spread: neither individuals, doctrines, technologies, nor cultures operate independently of their material and social environment.</w:t>
      </w:r>
      <w:r/>
    </w:p>
    <w:p>
      <w:r/>
      <w:r>
        <w:rPr>
          <w:b/>
        </w:rPr>
        <w:t>Reasoning, evidence &amp; mechanisms</w:t>
      </w:r>
      <w:r/>
      <w:r/>
    </w:p>
    <w:p>
      <w:pPr>
        <w:pStyle w:val="ListBullet"/>
        <w:spacing w:line="276" w:lineRule="auto" w:before="40" w:after="80"/>
        <w:ind w:left="720" w:hanging="360"/>
      </w:pPr>
      <w:r/>
      <w:r>
        <w:rPr>
          <w:b/>
        </w:rPr>
        <w:t>Opportunity and ability must coincide.</w:t>
      </w:r>
      <w:r>
        <w:t xml:space="preserve"> Diamond attributes Genghis Khan’s success both to exceptional military and organizational ability and to an unusually wet period on the Mongolian steppe, which increased livestock, food, and horses; either factor alone would have been insufficient.</w:t>
      </w:r>
      <w:r/>
    </w:p>
    <w:p>
      <w:pPr>
        <w:pStyle w:val="ListBullet"/>
        <w:spacing w:line="276" w:lineRule="auto" w:before="40" w:after="80"/>
        <w:ind w:left="720" w:hanging="360"/>
      </w:pPr>
      <w:r/>
      <w:r>
        <w:rPr>
          <w:b/>
        </w:rPr>
        <w:t>Leaders vary in their awareness of timing.</w:t>
      </w:r>
      <w:r>
        <w:t xml:space="preserve"> Bill Gates and Jeff Bezos consciously recognized technological inflection points, Churchill recognized an opening created by Germany’s invasion of France, while figures such as Genghis Khan benefited from environmental conditions they could not have understood.</w:t>
      </w:r>
      <w:r/>
    </w:p>
    <w:p>
      <w:pPr>
        <w:pStyle w:val="ListBullet"/>
        <w:spacing w:line="276" w:lineRule="auto" w:before="40" w:after="80"/>
        <w:ind w:left="720" w:hanging="360"/>
      </w:pPr>
      <w:r/>
      <w:r>
        <w:rPr>
          <w:b/>
        </w:rPr>
        <w:t>The individual often determines form, not inevitability.</w:t>
      </w:r>
      <w:r>
        <w:t xml:space="preserve"> Diamond argues that mobile phones, online stores, and stock markets would probably have emerged anyway, but Steve Jobs’s emphasis on simplicity and appearance and Bezos’s customer-first online model placed distinctive stamps on otherwise broader trends.</w:t>
      </w:r>
      <w:r/>
    </w:p>
    <w:p>
      <w:pPr>
        <w:pStyle w:val="ListBullet"/>
        <w:spacing w:line="276" w:lineRule="auto" w:before="40" w:after="80"/>
        <w:ind w:left="720" w:hanging="360"/>
      </w:pPr>
      <w:r/>
      <w:r>
        <w:rPr>
          <w:b/>
        </w:rPr>
        <w:t>Successful ideas require organizational machinery.</w:t>
      </w:r>
      <w:r>
        <w:t xml:space="preserve"> Diamond credits Christianity’s spread not simply to doctrine but to Jesus’s universal message, Saint Paul’s organizing ability, Christian care for families and the sick, literacy, and the later demographic and geopolitical power of European societies. He similarly emphasizes organization, social ties, and political or military capacity in discussing Islam and Mormonism.</w:t>
      </w:r>
      <w:r/>
    </w:p>
    <w:p>
      <w:pPr>
        <w:pStyle w:val="ListBullet"/>
        <w:spacing w:line="276" w:lineRule="auto" w:before="40" w:after="80"/>
        <w:ind w:left="720" w:hanging="360"/>
      </w:pPr>
      <w:r/>
      <w:r>
        <w:rPr>
          <w:b/>
        </w:rPr>
        <w:t>Institutions can preserve a leader’s choices.</w:t>
      </w:r>
      <w:r>
        <w:t xml:space="preserve"> Seretse Khama could weaken Botswana’s hereditary chiefs because he was himself the most powerful chief, and he could declare newly discovered diamonds national property because they lay on his tribe’s land. Diamond presents the resulting national investment of mineral wealth as a major reason for Botswana’s relative success.</w:t>
      </w:r>
      <w:r/>
    </w:p>
    <w:p>
      <w:pPr>
        <w:pStyle w:val="ListBullet"/>
        <w:spacing w:line="276" w:lineRule="auto" w:before="40" w:after="80"/>
        <w:ind w:left="720" w:hanging="360"/>
      </w:pPr>
      <w:r/>
      <w:r>
        <w:rPr>
          <w:b/>
        </w:rPr>
        <w:t>Language reveals both human universals and irreducible difference.</w:t>
      </w:r>
      <w:r>
        <w:t xml:space="preserve"> Creole formation suggests a strong human capacity to generate grammar, while examples such as Greek </w:t>
      </w:r>
      <w:r>
        <w:rPr>
          <w:i/>
        </w:rPr>
        <w:t>logos</w:t>
      </w:r>
      <w:r>
        <w:t>, tonal distinctions, and animate versus inanimate forms of “to be” show why translation loses meaning, force, or conceptual structure.</w:t>
      </w:r>
      <w:r/>
    </w:p>
    <w:p>
      <w:pPr>
        <w:pStyle w:val="ListBullet"/>
        <w:spacing w:line="276" w:lineRule="auto" w:before="40" w:after="80"/>
        <w:ind w:left="720" w:hanging="360"/>
      </w:pPr>
      <w:r/>
      <w:r>
        <w:rPr>
          <w:b/>
        </w:rPr>
        <w:t>The source preserves major uncertainties.</w:t>
      </w:r>
      <w:r>
        <w:t xml:space="preserve"> Diamond says the environmental conditions behind Muhammad’s rise are unknown, the cause of the Bronze Age collapse remains unresolved, Easter Island writing may or may not have been inspired by Europeans, and many undeciphered scripts lack enough text or a bilingual key.</w:t>
      </w:r>
      <w:r/>
      <w:r/>
    </w:p>
    <w:p>
      <w:pPr>
        <w:pStyle w:val="Heading2"/>
        <w:spacing w:before="280" w:after="120"/>
      </w:pPr>
      <w:r>
        <w:t>Key Facts &amp; Figures</w:t>
      </w:r>
      <w:r/>
      <w:r/>
    </w:p>
    <w:p>
      <w:pPr>
        <w:pStyle w:val="ListBullet"/>
        <w:spacing w:line="276" w:lineRule="auto" w:before="40" w:after="80"/>
        <w:ind w:left="720" w:hanging="360"/>
      </w:pPr>
      <w:r/>
      <w:r>
        <w:t xml:space="preserve">Diamond says a tree-ring study identified the decade of Genghis Khan’s birth as the wettest period on the Mongolian steppe in roughly </w:t>
      </w:r>
      <w:r>
        <w:rPr>
          <w:b/>
        </w:rPr>
        <w:t>2,000 years</w:t>
      </w:r>
      <w:r>
        <w:t>, supplying pasture for livestock and war horses.</w:t>
      </w:r>
      <w:r/>
    </w:p>
    <w:p>
      <w:pPr>
        <w:pStyle w:val="ListBullet"/>
        <w:spacing w:line="276" w:lineRule="auto" w:before="40" w:after="80"/>
        <w:ind w:left="720" w:hanging="360"/>
      </w:pPr>
      <w:r/>
      <w:r>
        <w:t xml:space="preserve">New Guinea contains approximately </w:t>
      </w:r>
      <w:r>
        <w:rPr>
          <w:b/>
        </w:rPr>
        <w:t>1,000 distinct languages</w:t>
      </w:r>
      <w:r>
        <w:t>, according to Diamond, making it the world’s most linguistically diverse region.</w:t>
      </w:r>
      <w:r/>
    </w:p>
    <w:p>
      <w:pPr>
        <w:pStyle w:val="ListBullet"/>
        <w:spacing w:line="276" w:lineRule="auto" w:before="40" w:after="80"/>
        <w:ind w:left="720" w:hanging="360"/>
      </w:pPr>
      <w:r/>
      <w:r>
        <w:rPr>
          <w:i/>
        </w:rPr>
        <w:t>Guns, Germs, and Steel</w:t>
      </w:r>
      <w:r>
        <w:t xml:space="preserve"> has been translated into about </w:t>
      </w:r>
      <w:r>
        <w:rPr>
          <w:b/>
        </w:rPr>
        <w:t>45 languages</w:t>
      </w:r>
      <w:r>
        <w:t>; Diamond observes that German and Italian editions are physically longer because equivalent expression often requires more words.</w:t>
      </w:r>
      <w:r/>
    </w:p>
    <w:p>
      <w:pPr>
        <w:pStyle w:val="ListBullet"/>
        <w:spacing w:line="276" w:lineRule="auto" w:before="40" w:after="80"/>
        <w:ind w:left="720" w:hanging="360"/>
      </w:pPr>
      <w:r/>
      <w:r>
        <w:t xml:space="preserve">Diamond has worked with </w:t>
      </w:r>
      <w:r>
        <w:rPr>
          <w:b/>
        </w:rPr>
        <w:t>13 languages</w:t>
      </w:r>
      <w:r>
        <w:t xml:space="preserve"> and says he can currently lecture in English, Italian, German, and Tok Pisin.</w:t>
      </w:r>
      <w:r/>
    </w:p>
    <w:p>
      <w:pPr>
        <w:pStyle w:val="ListBullet"/>
        <w:spacing w:line="276" w:lineRule="auto" w:before="40" w:after="80"/>
        <w:ind w:left="720" w:hanging="360"/>
      </w:pPr>
      <w:r/>
      <w:r>
        <w:t xml:space="preserve">He describes children turning plantation pidgins into grammatically complete creoles within roughly </w:t>
      </w:r>
      <w:r>
        <w:rPr>
          <w:b/>
        </w:rPr>
        <w:t>a decade</w:t>
      </w:r>
      <w:r>
        <w:t xml:space="preserve">, with historical traces of this development in Hawaiian sources from the </w:t>
      </w:r>
      <w:r>
        <w:rPr>
          <w:b/>
        </w:rPr>
        <w:t>1890s</w:t>
      </w:r>
      <w:r>
        <w:t>.</w:t>
      </w:r>
      <w:r/>
    </w:p>
    <w:p>
      <w:pPr>
        <w:pStyle w:val="ListBullet"/>
        <w:spacing w:line="276" w:lineRule="auto" w:before="40" w:after="80"/>
        <w:ind w:left="720" w:hanging="360"/>
      </w:pPr>
      <w:r/>
      <w:r>
        <w:t xml:space="preserve">Diamond dates the earliest established cuneiform writing to approximately </w:t>
      </w:r>
      <w:r>
        <w:rPr>
          <w:b/>
        </w:rPr>
        <w:t>3400–3500 BCE</w:t>
      </w:r>
      <w:r>
        <w:t xml:space="preserve">, Egyptian hieroglyphs to around </w:t>
      </w:r>
      <w:r>
        <w:rPr>
          <w:b/>
        </w:rPr>
        <w:t>3000 BCE</w:t>
      </w:r>
      <w:r>
        <w:t xml:space="preserve">, early Mexican writing to roughly </w:t>
      </w:r>
      <w:r>
        <w:rPr>
          <w:b/>
        </w:rPr>
        <w:t>700–900 BCE</w:t>
      </w:r>
      <w:r>
        <w:t xml:space="preserve">, and attested Chinese writing to about </w:t>
      </w:r>
      <w:r>
        <w:rPr>
          <w:b/>
        </w:rPr>
        <w:t>1300 BCE</w:t>
      </w:r>
      <w:r>
        <w:t>.</w:t>
      </w:r>
      <w:r/>
    </w:p>
    <w:p>
      <w:pPr>
        <w:pStyle w:val="ListBullet"/>
        <w:spacing w:line="276" w:lineRule="auto" w:before="40" w:after="80"/>
        <w:ind w:left="720" w:hanging="360"/>
      </w:pPr>
      <w:r/>
      <w:r>
        <w:t xml:space="preserve">Diamond says the last Fore mortuary feast associated with kuru transmission occurred in </w:t>
      </w:r>
      <w:r>
        <w:rPr>
          <w:b/>
        </w:rPr>
        <w:t>1959</w:t>
      </w:r>
      <w:r>
        <w:t xml:space="preserve">, while the last recorded kuru death was in </w:t>
      </w:r>
      <w:r>
        <w:rPr>
          <w:b/>
        </w:rPr>
        <w:t>2009</w:t>
      </w:r>
      <w:r>
        <w:t xml:space="preserve">, implying an incubation period of about </w:t>
      </w:r>
      <w:r>
        <w:rPr>
          <w:b/>
        </w:rPr>
        <w:t>50 years</w:t>
      </w:r>
      <w:r>
        <w:t xml:space="preserve"> in that case.</w:t>
      </w:r>
      <w:r/>
    </w:p>
    <w:p>
      <w:pPr>
        <w:pStyle w:val="ListBullet"/>
        <w:spacing w:line="276" w:lineRule="auto" w:before="40" w:after="80"/>
        <w:ind w:left="720" w:hanging="360"/>
      </w:pPr>
      <w:r/>
      <w:r>
        <w:t xml:space="preserve">In the kuru transmission experiment Diamond recounts, a chimpanzee injected with infected human brain tissue developed symptoms after about </w:t>
      </w:r>
      <w:r>
        <w:rPr>
          <w:b/>
        </w:rPr>
        <w:t>three years</w:t>
      </w:r>
      <w:r>
        <w:t>, supporting the conclusion that kuru was transmissible.</w:t>
      </w:r>
      <w:r/>
    </w:p>
    <w:p>
      <w:pPr>
        <w:pStyle w:val="ListBullet"/>
        <w:spacing w:line="276" w:lineRule="auto" w:before="40" w:after="80"/>
        <w:ind w:left="720" w:hanging="360"/>
      </w:pPr>
      <w:r/>
      <w:r>
        <w:t xml:space="preserve">Botswana’s diamonds were reportedly discovered about </w:t>
      </w:r>
      <w:r>
        <w:rPr>
          <w:b/>
        </w:rPr>
        <w:t>six months after independence</w:t>
      </w:r>
      <w:r>
        <w:t>; Seretse Khama declared underground resources national rather than tribal property and directed revenues toward long-term national investment.</w:t>
      </w:r>
      <w:r/>
      <w:r/>
    </w:p>
    <w:p>
      <w:pPr>
        <w:pStyle w:val="Heading2"/>
        <w:spacing w:before="280" w:after="120"/>
      </w:pPr>
      <w:r>
        <w:t>Insights</w:t>
      </w:r>
      <w:r/>
      <w:r/>
    </w:p>
    <w:p>
      <w:pPr>
        <w:pStyle w:val="ListBullet"/>
        <w:spacing w:line="276" w:lineRule="auto" w:before="40" w:after="80"/>
        <w:ind w:left="720" w:hanging="360"/>
      </w:pPr>
      <w:r/>
      <w:r>
        <w:rPr>
          <w:b/>
        </w:rPr>
        <w:t>Leadership is multiplicative, not additive.</w:t>
      </w:r>
      <w:r>
        <w:t xml:space="preserve"> Diamond’s examples imply that historical impact resembles personal capability multiplied by environmental opportunity. If either term is near zero, extraordinary talent or favorable conditions may leave little trace.</w:t>
      </w:r>
      <w:r/>
    </w:p>
    <w:p>
      <w:pPr>
        <w:pStyle w:val="ListBullet"/>
        <w:spacing w:line="276" w:lineRule="auto" w:before="40" w:after="80"/>
        <w:ind w:left="720" w:hanging="360"/>
      </w:pPr>
      <w:r/>
      <w:r>
        <w:rPr>
          <w:b/>
        </w:rPr>
        <w:t>“Would it have happened anyway?” is the wrong binary.</w:t>
      </w:r>
      <w:r>
        <w:t xml:space="preserve"> A technology or institution can be broadly likely while its actual design remains highly contingent. Bezos may not have been necessary for online commerce, yet Amazon’s customer experience and business model were not therefore inevitable.</w:t>
      </w:r>
      <w:r/>
    </w:p>
    <w:p>
      <w:pPr>
        <w:pStyle w:val="ListBullet"/>
        <w:spacing w:line="276" w:lineRule="auto" w:before="40" w:after="80"/>
        <w:ind w:left="720" w:hanging="360"/>
      </w:pPr>
      <w:r/>
      <w:r>
        <w:rPr>
          <w:b/>
        </w:rPr>
        <w:t>Memetic success is not evidence of truth.</w:t>
      </w:r>
      <w:r>
        <w:t xml:space="preserve"> The religious discussion separates a belief’s theological merits from its capacity to reproduce through community, fertility, literacy, discipline, missionary work, and political backing.</w:t>
      </w:r>
      <w:r/>
    </w:p>
    <w:p>
      <w:pPr>
        <w:pStyle w:val="ListBullet"/>
        <w:spacing w:line="276" w:lineRule="auto" w:before="40" w:after="80"/>
        <w:ind w:left="720" w:hanging="360"/>
      </w:pPr>
      <w:r/>
      <w:r>
        <w:rPr>
          <w:b/>
        </w:rPr>
        <w:t>Institutions turn personality into legacy.</w:t>
      </w:r>
      <w:r>
        <w:t xml:space="preserve"> Charisma dies with a leader unless translated into rules, organizations, scripts, property arrangements, or repeatable practices. Hangul and Botswana’s resource regime endure because they became infrastructure.</w:t>
      </w:r>
      <w:r/>
    </w:p>
    <w:p>
      <w:pPr>
        <w:pStyle w:val="ListBullet"/>
        <w:spacing w:line="276" w:lineRule="auto" w:before="40" w:after="80"/>
        <w:ind w:left="720" w:hanging="360"/>
      </w:pPr>
      <w:r/>
      <w:r>
        <w:rPr>
          <w:b/>
        </w:rPr>
        <w:t>Translation is a multi-objective problem.</w:t>
      </w:r>
      <w:r>
        <w:t xml:space="preserve"> Preserving literal meaning, cultural context, rhythm, compression, emotional force, and word order simultaneously may be impossible. AI can improve contextual explanation, but Diamond’s Iliad example suggests that greater explicitness may sacrifice literary power.</w:t>
      </w:r>
      <w:r/>
    </w:p>
    <w:p>
      <w:pPr>
        <w:pStyle w:val="ListBullet"/>
        <w:spacing w:line="276" w:lineRule="auto" w:before="40" w:after="80"/>
        <w:ind w:left="720" w:hanging="360"/>
      </w:pPr>
      <w:r/>
      <w:r>
        <w:rPr>
          <w:b/>
        </w:rPr>
        <w:t>Tools change thought, not merely output speed.</w:t>
      </w:r>
      <w:r>
        <w:t xml:space="preserve"> Diamond’s claim that handwriting makes his prose shorter and more organized points to a broader tradeoff: faster composition captures thought more fluidly, while slower media impose useful reflection and compression.</w:t>
      </w:r>
      <w:r/>
    </w:p>
    <w:p>
      <w:pPr>
        <w:pStyle w:val="ListBullet"/>
        <w:spacing w:line="276" w:lineRule="auto" w:before="40" w:after="80"/>
        <w:ind w:left="720" w:hanging="360"/>
      </w:pPr>
      <w:r/>
      <w:r>
        <w:rPr>
          <w:b/>
        </w:rPr>
        <w:t>Cultural humility has limits left underexplored here.</w:t>
      </w:r>
      <w:r>
        <w:t xml:space="preserve"> Diamond usefully shows that disgust and normality are culturally conditioned, but the conversation sometimes treats practices involving coercion or children mainly as examples of difference. Understanding cultural context does not settle questions of harm, consent, or moral judgment.</w:t>
      </w:r>
      <w:r/>
    </w:p>
    <w:p>
      <w:pPr>
        <w:pStyle w:val="ListBullet"/>
        <w:spacing w:line="276" w:lineRule="auto" w:before="40" w:after="80"/>
        <w:ind w:left="720" w:hanging="360"/>
      </w:pPr>
      <w:r/>
      <w:r>
        <w:rPr>
          <w:b/>
        </w:rPr>
        <w:t>Many striking examples need independent checking.</w:t>
      </w:r>
      <w:r>
        <w:t xml:space="preserve"> The interview is an expansive oral synthesis rather than a documented lecture; precise historical, demographic, linguistic, and medical claims—especially superlatives and exact dates—should be verified before being quoted as settled fact.</w:t>
      </w:r>
      <w:r/>
      <w:r/>
    </w:p>
    <w:p>
      <w:pPr>
        <w:pStyle w:val="Heading2"/>
        <w:spacing w:before="280" w:after="120"/>
      </w:pPr>
      <w:r>
        <w:t>Practical Implications</w:t>
      </w:r>
      <w:r/>
    </w:p>
    <w:p>
      <w:r/>
      <w:r>
        <w:rPr>
          <w:b/>
        </w:rPr>
        <w:t>From the source</w:t>
      </w:r>
      <w:r/>
      <w:r/>
    </w:p>
    <w:p>
      <w:pPr>
        <w:pStyle w:val="ListBullet"/>
        <w:spacing w:line="276" w:lineRule="auto" w:before="40" w:after="80"/>
        <w:ind w:left="720" w:hanging="360"/>
      </w:pPr>
      <w:r/>
      <w:r>
        <w:t>When judging a leader or pursuing a major project, examine both personal ability and whether the technological, political, demographic, or environmental moment is genuinely favorable.</w:t>
      </w:r>
      <w:r/>
    </w:p>
    <w:p>
      <w:pPr>
        <w:pStyle w:val="ListBullet"/>
        <w:spacing w:line="276" w:lineRule="auto" w:before="40" w:after="80"/>
        <w:ind w:left="720" w:hanging="360"/>
      </w:pPr>
      <w:r/>
      <w:r>
        <w:t>Start ambitious ventures with a strategically chosen entry point: Bezos began with books because they were standardized and easy to source, while retaining the larger goal of an “everything store.”</w:t>
      </w:r>
      <w:r/>
    </w:p>
    <w:p>
      <w:pPr>
        <w:pStyle w:val="ListBullet"/>
        <w:spacing w:line="276" w:lineRule="auto" w:before="40" w:after="80"/>
        <w:ind w:left="720" w:hanging="360"/>
      </w:pPr>
      <w:r/>
      <w:r>
        <w:t>For more compressed prose, Diamond recommends drafting and revising by hand before dictating or typing the cleaned-up version.</w:t>
      </w:r>
      <w:r/>
    </w:p>
    <w:p>
      <w:pPr>
        <w:pStyle w:val="ListBullet"/>
        <w:spacing w:line="276" w:lineRule="auto" w:before="40" w:after="80"/>
        <w:ind w:left="720" w:hanging="360"/>
      </w:pPr>
      <w:r/>
      <w:r>
        <w:t>His language-learning pattern is to learn core grammar, begin reading, and then arrange recurring conversations with native speakers; he has maintained some of those conversations for decades.</w:t>
      </w:r>
      <w:r/>
    </w:p>
    <w:p>
      <w:pPr>
        <w:pStyle w:val="ListBullet"/>
        <w:spacing w:line="276" w:lineRule="auto" w:before="40" w:after="80"/>
        <w:ind w:left="720" w:hanging="360"/>
      </w:pPr>
      <w:r/>
      <w:r>
        <w:t>Treat translation as approximation rather than equivalence, especially when interpreting sacred, legal, or ancient texts whose key words carry multiple meanings.</w:t>
      </w:r>
      <w:r/>
      <w:r/>
    </w:p>
    <w:p>
      <w:r/>
      <w:r>
        <w:rPr>
          <w:b/>
        </w:rPr>
        <w:t>Analyst implications</w:t>
      </w:r>
      <w:r/>
      <w:r/>
    </w:p>
    <w:p>
      <w:pPr>
        <w:pStyle w:val="ListBullet"/>
        <w:spacing w:line="276" w:lineRule="auto" w:before="40" w:after="80"/>
        <w:ind w:left="720" w:hanging="360"/>
      </w:pPr>
      <w:r/>
      <w:r>
        <w:t>Evaluate leaders with a counterfactual test: distinguish what probably would have happened anyway from the timing, design, or institutional choices uniquely attributable to the individual.</w:t>
      </w:r>
      <w:r/>
    </w:p>
    <w:p>
      <w:pPr>
        <w:pStyle w:val="ListBullet"/>
        <w:spacing w:line="276" w:lineRule="auto" w:before="40" w:after="80"/>
        <w:ind w:left="720" w:hanging="360"/>
      </w:pPr>
      <w:r/>
      <w:r>
        <w:t>When assessing a movement, inspect its recruitment demands, community support, family structure, funding, literacy, and organizational discipline—not only its stated beliefs.</w:t>
      </w:r>
      <w:r/>
    </w:p>
    <w:p>
      <w:pPr>
        <w:pStyle w:val="ListBullet"/>
        <w:spacing w:line="276" w:lineRule="auto" w:before="40" w:after="80"/>
        <w:ind w:left="720" w:hanging="360"/>
      </w:pPr>
      <w:r/>
      <w:r>
        <w:t>For AI translation of consequential texts, compare a literal rendering, a contextual paraphrase, and an explanation of untranslatable terms rather than relying on one seamless output.</w:t>
      </w:r>
      <w:r/>
    </w:p>
    <w:p>
      <w:pPr>
        <w:pStyle w:val="ListBullet"/>
        <w:spacing w:line="276" w:lineRule="auto" w:before="40" w:after="80"/>
        <w:ind w:left="720" w:hanging="360"/>
      </w:pPr>
      <w:r/>
      <w:r>
        <w:t>Verify memorable claims from the interview against specialist sources before using them in policy, scholarship, health decisions, or public argument.</w:t>
      </w:r>
      <w:r/>
    </w:p>
    <w:p>
      <w:pPr>
        <w:pStyle w:val="ListBullet"/>
        <w:spacing w:line="276" w:lineRule="auto" w:before="40" w:after="80"/>
        <w:ind w:left="720" w:hanging="360"/>
      </w:pPr>
      <w:r/>
      <w:r>
        <w:t>Resource-rich societies should stress-test who legally owns newly discovered wealth, how revenues are distributed, and whether proceeds are consumed immediately or invested for future generations.</w:t>
      </w:r>
      <w:r/>
      <w:r/>
    </w:p>
    <w:p>
      <w:pPr>
        <w:pStyle w:val="Heading2"/>
        <w:spacing w:before="280" w:after="120"/>
      </w:pPr>
      <w:r>
        <w:t>References</w:t>
      </w:r>
      <w:r/>
      <w:r/>
    </w:p>
    <w:p>
      <w:pPr>
        <w:pStyle w:val="ListBullet"/>
        <w:spacing w:line="276" w:lineRule="auto" w:before="40" w:after="80"/>
        <w:ind w:left="720" w:hanging="360"/>
      </w:pPr>
      <w:r/>
      <w:r>
        <w:rPr>
          <w:b/>
        </w:rPr>
        <w:t xml:space="preserve">Jared Diamond, </w:t>
      </w:r>
      <w:r>
        <w:rPr>
          <w:b/>
          <w:i/>
        </w:rPr>
        <w:t>Guns, Germs, and Steel</w:t>
      </w:r>
      <w:r>
        <w:rPr>
          <w:b/>
        </w:rPr>
        <w:t>:</w:t>
      </w:r>
      <w:r>
        <w:t xml:space="preserve"> Diamond’s structural account of why societies on different continents developed unequal power over long periods.</w:t>
      </w:r>
      <w:r/>
    </w:p>
    <w:p>
      <w:pPr>
        <w:pStyle w:val="ListBullet"/>
        <w:spacing w:line="276" w:lineRule="auto" w:before="40" w:after="80"/>
        <w:ind w:left="720" w:hanging="360"/>
      </w:pPr>
      <w:r/>
      <w:r>
        <w:rPr>
          <w:b/>
        </w:rPr>
        <w:t>Seretse Khama and Botswana’s diamond policy:</w:t>
      </w:r>
      <w:r>
        <w:t xml:space="preserve"> A central case of a leader using inherited authority to weaken tribal privilege and nationalize resource benefits.</w:t>
      </w:r>
      <w:r/>
    </w:p>
    <w:p>
      <w:pPr>
        <w:pStyle w:val="ListBullet"/>
        <w:spacing w:line="276" w:lineRule="auto" w:before="40" w:after="80"/>
        <w:ind w:left="720" w:hanging="360"/>
      </w:pPr>
      <w:r/>
      <w:r>
        <w:rPr>
          <w:b/>
        </w:rPr>
        <w:t>King Sejong and Hangul:</w:t>
      </w:r>
      <w:r>
        <w:t xml:space="preserve"> A rare example of a deliberately designed writing system becoming durable national infrastructure.</w:t>
      </w:r>
      <w:r/>
    </w:p>
    <w:p>
      <w:pPr>
        <w:pStyle w:val="ListBullet"/>
        <w:spacing w:line="276" w:lineRule="auto" w:before="40" w:after="80"/>
        <w:ind w:left="720" w:hanging="360"/>
      </w:pPr>
      <w:r/>
      <w:r>
        <w:rPr>
          <w:b/>
        </w:rPr>
        <w:t>Sequoyah and the Cherokee syllabary:</w:t>
      </w:r>
      <w:r>
        <w:t xml:space="preserve"> An independently designed syllabary inspired by observing the social power of European writing.</w:t>
      </w:r>
      <w:r/>
    </w:p>
    <w:p>
      <w:pPr>
        <w:pStyle w:val="ListBullet"/>
        <w:spacing w:line="276" w:lineRule="auto" w:before="40" w:after="80"/>
        <w:ind w:left="720" w:hanging="360"/>
      </w:pPr>
      <w:r/>
      <w:r>
        <w:rPr>
          <w:b/>
        </w:rPr>
        <w:t>Tok Pisin:</w:t>
      </w:r>
      <w:r>
        <w:t xml:space="preserve"> Papua New Guinea’s English-influenced creole and Diamond’s main example of a contact language becoming fully expressive.</w:t>
      </w:r>
      <w:r/>
    </w:p>
    <w:p>
      <w:pPr>
        <w:pStyle w:val="ListBullet"/>
        <w:spacing w:line="276" w:lineRule="auto" w:before="40" w:after="80"/>
        <w:ind w:left="720" w:hanging="360"/>
      </w:pPr>
      <w:r/>
      <w:r>
        <w:rPr>
          <w:b/>
        </w:rPr>
        <w:t>The Fore people, kuru, and prion disease:</w:t>
      </w:r>
      <w:r>
        <w:t xml:space="preserve"> The key medical-anthropological case connecting mortuary practices, long incubation periods, and transmissible misfolded proteins.</w:t>
      </w:r>
      <w:r/>
    </w:p>
    <w:p>
      <w:pPr>
        <w:pStyle w:val="ListBullet"/>
        <w:spacing w:line="276" w:lineRule="auto" w:before="40" w:after="80"/>
        <w:ind w:left="720" w:hanging="360"/>
      </w:pPr>
      <w:r/>
      <w:r>
        <w:rPr>
          <w:b/>
        </w:rPr>
        <w:t>Creutzfeldt–Jakob disease:</w:t>
      </w:r>
      <w:r>
        <w:t xml:space="preserve"> The rare human prion disease Diamond presents as the probable original source from which kuru spread.</w:t>
      </w:r>
      <w:r/>
    </w:p>
    <w:p>
      <w:pPr>
        <w:pStyle w:val="ListBullet"/>
        <w:spacing w:line="276" w:lineRule="auto" w:before="40" w:after="80"/>
        <w:ind w:left="720" w:hanging="360"/>
      </w:pPr>
      <w:r/>
      <w:r>
        <w:rPr>
          <w:b/>
        </w:rPr>
        <w:t>Xerox PARC and early machine translation:</w:t>
      </w:r>
      <w:r>
        <w:t xml:space="preserve"> An early attempt at automatic translation that illustrates how idioms and linguistic structure defeated simple word substitution.</w:t>
      </w:r>
      <w:r/>
    </w:p>
    <w:p>
      <w:pPr>
        <w:pStyle w:val="ListBullet"/>
        <w:spacing w:line="276" w:lineRule="auto" w:before="40" w:after="80"/>
        <w:ind w:left="720" w:hanging="360"/>
      </w:pPr>
      <w:r/>
      <w:r>
        <w:rPr>
          <w:b/>
        </w:rPr>
        <w:t>Linear A, Linear B, and the Bronze Age collapse:</w:t>
      </w:r>
      <w:r>
        <w:t xml:space="preserve"> Evidence that writing systems and literacy can disappear when the political systems supporting them collapse.</w:t>
      </w:r>
      <w:r/>
    </w:p>
    <w:p>
      <w:pPr>
        <w:pStyle w:val="ListBullet"/>
        <w:spacing w:line="276" w:lineRule="auto" w:before="40" w:after="80"/>
        <w:ind w:left="720" w:hanging="360"/>
      </w:pPr>
      <w:r/>
      <w:r>
        <w:rPr>
          <w:b/>
        </w:rPr>
        <w:t>Rongorongo of Easter Island:</w:t>
      </w:r>
      <w:r>
        <w:t xml:space="preserve"> An undeciphered script whose origin and possible inspiration remain disputed.</w:t>
      </w:r>
      <w:r/>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276"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80" w:after="12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80" w:after="12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