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sz w:val="32"/>
        </w:rPr>
        <w:t>The Diary Of A CEO - Human Lie Detector: The #1 Sign They’re Lying To You, Catch Liars Instantly! | Dr Leanne ten Brinke</w:t>
      </w:r>
    </w:p>
    <w:p>
      <w:r>
        <w:rPr>
          <w:b/>
        </w:rPr>
        <w:t xml:space="preserve">Source: </w:t>
      </w:r>
      <w:r>
        <w:t>https://youtu.be/AcK_zgJjnoo</w:t>
      </w:r>
    </w:p>
    <w:p>
      <w:r>
        <w:rPr>
          <w:b/>
        </w:rPr>
        <w:t xml:space="preserve">Date: </w:t>
      </w:r>
      <w:r>
        <w:t>2026-09-07</w:t>
      </w:r>
    </w:p>
    <w:p>
      <w:r>
        <w:rPr>
          <w:b/>
        </w:rPr>
        <w:t xml:space="preserve">Prompt: </w:t>
      </w:r>
      <w:r>
        <w:t>extract_knowledge.md</w:t>
      </w:r>
    </w:p>
    <w:p>
      <w:r>
        <w:rPr>
          <w:b/>
        </w:rPr>
        <w:t xml:space="preserve">Model: </w:t>
      </w:r>
      <w:r>
        <w:t>openai/gpt-5.6-sol</w:t>
      </w:r>
    </w:p>
    <w:p>
      <w:r>
        <w:t>---</w:t>
      </w:r>
    </w:p>
    <w:p>
      <w:pPr>
        <w:pStyle w:val="Heading2"/>
        <w:spacing w:before="280" w:after="120"/>
      </w:pPr>
      <w:r>
        <w:t>One-Sentence Takeaway</w:t>
      </w:r>
      <w:r/>
    </w:p>
    <w:p>
      <w:r/>
      <w:r>
        <w:t>Dark personality traits can cause disproportionate harm, but they are best recognized and managed through patterns across contexts, better questions, explicit boundaries, and well-designed incentives—not stereotypes, single behavioral cues, or hopes of transforming someone’s personality.</w:t>
      </w:r>
      <w:r/>
    </w:p>
    <w:p>
      <w:pPr>
        <w:pStyle w:val="Heading2"/>
        <w:spacing w:before="280" w:after="120"/>
      </w:pPr>
      <w:r>
        <w:t>Executive Brief</w:t>
      </w:r>
      <w:r/>
    </w:p>
    <w:p>
      <w:r/>
      <w:r>
        <w:t>In this interview, psychologist Leanne ten Brinke explains what research says about deception, the “dark tetrad,” and how to deal with people who show these traits.</w:t>
      </w:r>
      <w:r/>
      <w:r/>
    </w:p>
    <w:p>
      <w:pPr>
        <w:pStyle w:val="ListBullet"/>
        <w:spacing w:line="276" w:lineRule="auto" w:before="40" w:after="80"/>
        <w:ind w:left="720" w:hanging="360"/>
      </w:pPr>
      <w:r/>
      <w:r>
        <w:t>Psychopathy, Machiavellianism, narcissism, and sadism differ in expression but share callousness, manipulation, and hostility; all exist on continua rather than as simple yes-or-no categories.</w:t>
      </w:r>
      <w:r/>
    </w:p>
    <w:p>
      <w:pPr>
        <w:pStyle w:val="ListBullet"/>
        <w:spacing w:line="276" w:lineRule="auto" w:before="40" w:after="80"/>
        <w:ind w:left="720" w:hanging="360"/>
      </w:pPr>
      <w:r/>
      <w:r>
        <w:t>Brief observations can contain a “kernel of truth” about psychopathic traits, but personality is a persistent pattern across time and situations, so a five-second impression is not a diagnosis.</w:t>
      </w:r>
      <w:r/>
    </w:p>
    <w:p>
      <w:pPr>
        <w:pStyle w:val="ListBullet"/>
        <w:spacing w:line="276" w:lineRule="auto" w:before="40" w:after="80"/>
        <w:ind w:left="720" w:hanging="360"/>
      </w:pPr>
      <w:r/>
      <w:r>
        <w:t>People detect lies at only about 54% accuracy on average, and familiar cues such as poor eye contact and fidgeting are unreliable.</w:t>
      </w:r>
      <w:r/>
    </w:p>
    <w:p>
      <w:pPr>
        <w:pStyle w:val="ListBullet"/>
        <w:spacing w:line="276" w:lineRule="auto" w:before="40" w:after="80"/>
        <w:ind w:left="720" w:hanging="360"/>
      </w:pPr>
      <w:r/>
      <w:r>
        <w:t>More useful deception signals include sparse or ambiguous accounts, few verifiable details, and visible cognitive effort—especially when someone must answer unanticipated questions without preparation.</w:t>
      </w:r>
      <w:r/>
    </w:p>
    <w:p>
      <w:pPr>
        <w:pStyle w:val="ListBullet"/>
        <w:spacing w:line="276" w:lineRule="auto" w:before="40" w:after="80"/>
        <w:ind w:left="720" w:hanging="360"/>
      </w:pPr>
      <w:r/>
      <w:r>
        <w:t>Dark traits may create an impressive first impression, yet evidence discussed in the interview links psychopathy to less political influence and lower hedge-fund earnings, while narcissistic leaders often damage teams over time.</w:t>
      </w:r>
      <w:r/>
    </w:p>
    <w:p>
      <w:pPr>
        <w:pStyle w:val="ListBullet"/>
        <w:spacing w:line="276" w:lineRule="auto" w:before="40" w:after="80"/>
        <w:ind w:left="720" w:hanging="360"/>
      </w:pPr>
      <w:r/>
      <w:r>
        <w:t>Personality change is possible but difficult, particularly without motivation; early intervention with children appears more promising than waiting for severely elevated adult traits to disappear.</w:t>
      </w:r>
      <w:r/>
    </w:p>
    <w:p>
      <w:pPr>
        <w:pStyle w:val="ListBullet"/>
        <w:spacing w:line="276" w:lineRule="auto" w:before="40" w:after="80"/>
        <w:ind w:left="720" w:hanging="360"/>
      </w:pPr>
      <w:r/>
      <w:r>
        <w:t>Ten Brinke recommends explicit boundaries, limiting power over others, rewarding constructive behavior, appealing to the person’s actual incentives, emphasizing common identity, checking claims, and negotiating in writing when possible.</w:t>
      </w:r>
      <w:r/>
      <w:r/>
    </w:p>
    <w:p>
      <w:pPr>
        <w:pStyle w:val="Heading2"/>
        <w:spacing w:before="280" w:after="120"/>
      </w:pPr>
      <w:r>
        <w:t>Core Argument</w:t>
      </w:r>
      <w:r/>
    </w:p>
    <w:p>
      <w:r/>
      <w:r>
        <w:rPr>
          <w:b/>
        </w:rPr>
        <w:t>Central thesis or narrative:</w:t>
      </w:r>
      <w:r>
        <w:t xml:space="preserve"> Understanding dark personalities should make people more discerning rather than more cynical. A relatively small minority can cause outsized harm, but research offers practical ways to recognize risk and structure interactions without pretending that intuition is infallible or that entrenched personalities will simply change.</w:t>
      </w:r>
      <w:r/>
    </w:p>
    <w:p>
      <w:r/>
      <w:r>
        <w:rPr>
          <w:b/>
        </w:rPr>
        <w:t>Reasoning, evidence &amp; mechanisms</w:t>
      </w:r>
      <w:r/>
      <w:r/>
    </w:p>
    <w:p>
      <w:pPr>
        <w:pStyle w:val="ListBullet"/>
        <w:spacing w:line="276" w:lineRule="auto" w:before="40" w:after="80"/>
        <w:ind w:left="720" w:hanging="360"/>
      </w:pPr>
      <w:r/>
      <w:r>
        <w:rPr>
          <w:b/>
        </w:rPr>
        <w:t>First impressions carry limited information.</w:t>
      </w:r>
      <w:r>
        <w:t xml:space="preserve"> In research led by Scott Lilienfeld, students who watched five-, 10-, or 20-second clips of interviews with criminal offenders produced psychopathy ratings that correlated reasonably with assessments made by clinicians after extensive interviews and collateral investigation. Ten Brinke’s follow-up work associated higher psychopathic traits with frequent hand gestures and an incongruous combination of genuine-looking Duchenne smiles and hostile speech, but she stresses that more observations across contexts produce better judgments.</w:t>
      </w:r>
      <w:r/>
    </w:p>
    <w:p>
      <w:pPr>
        <w:pStyle w:val="ListBullet"/>
        <w:spacing w:line="276" w:lineRule="auto" w:before="40" w:after="80"/>
        <w:ind w:left="720" w:hanging="360"/>
      </w:pPr>
      <w:r/>
      <w:r>
        <w:rPr>
          <w:b/>
        </w:rPr>
        <w:t>Passive lie spotting performs poorly.</w:t>
      </w:r>
      <w:r>
        <w:t xml:space="preserve"> Across many studies, people average about 54% accuracy—barely above chance—when deciding who is lying. Training observers to read behavior helps only modestly; teaching them to elicit better evidence is more effective.</w:t>
      </w:r>
      <w:r/>
    </w:p>
    <w:p>
      <w:pPr>
        <w:pStyle w:val="ListBullet"/>
        <w:spacing w:line="276" w:lineRule="auto" w:before="40" w:after="80"/>
        <w:ind w:left="720" w:hanging="360"/>
      </w:pPr>
      <w:r/>
      <w:r>
        <w:rPr>
          <w:b/>
        </w:rPr>
        <w:t>Lying creates cognitive load.</w:t>
      </w:r>
      <w:r>
        <w:t xml:space="preserve"> An unprepared liar must invent details, avoid contradictions, remember the fabricated account, and estimate what the questioner already knows. This often produces less detail, greater ambiguity, slower or more hesitant speech, and visible effort, although any one behavior can have innocent explanations.</w:t>
      </w:r>
      <w:r/>
    </w:p>
    <w:p>
      <w:pPr>
        <w:pStyle w:val="ListBullet"/>
        <w:spacing w:line="276" w:lineRule="auto" w:before="40" w:after="80"/>
        <w:ind w:left="720" w:hanging="360"/>
      </w:pPr>
      <w:r/>
      <w:r>
        <w:rPr>
          <w:b/>
        </w:rPr>
        <w:t>Good questioning exposes differences between memory and invention.</w:t>
      </w:r>
      <w:r>
        <w:t xml:space="preserve"> Open-ended prompts, unanticipated questions, and repeated invitations to “tell me more” allow truth tellers to retrieve additional lived detail while forcing liars to extend a story they must construct and keep consistent. Verifiable details are especially useful because they can be independently checked.</w:t>
      </w:r>
      <w:r/>
    </w:p>
    <w:p>
      <w:pPr>
        <w:pStyle w:val="ListBullet"/>
        <w:spacing w:line="276" w:lineRule="auto" w:before="40" w:after="80"/>
        <w:ind w:left="720" w:hanging="360"/>
      </w:pPr>
      <w:r/>
      <w:r>
        <w:rPr>
          <w:b/>
        </w:rPr>
        <w:t>The strongest findings require caution.</w:t>
      </w:r>
      <w:r>
        <w:t xml:space="preserve"> Ten Brinke’s early work on televised pleas by people seeking missing relatives reportedly classified deceptive and genuine pleaders with about 90% accuracy using two verbal and two nonverbal cues. A later replication found much smaller effects, though verbal differences—particularly word count, vagueness, and tentative language—were more consistent.</w:t>
      </w:r>
      <w:r/>
    </w:p>
    <w:p>
      <w:pPr>
        <w:pStyle w:val="ListBullet"/>
        <w:spacing w:line="276" w:lineRule="auto" w:before="40" w:after="80"/>
        <w:ind w:left="720" w:hanging="360"/>
      </w:pPr>
      <w:r/>
      <w:r>
        <w:rPr>
          <w:b/>
        </w:rPr>
        <w:t>Common stereotypes can produce unfair errors.</w:t>
      </w:r>
      <w:r>
        <w:t xml:space="preserve"> Eye-contact avoidance and fidgeting are not reliable indicators of deception. Cultural norms and neurodivergence can affect eye contact, and emerging research suggests autistic people may be judged deceptive more often even when telling the truth.</w:t>
      </w:r>
      <w:r/>
    </w:p>
    <w:p>
      <w:pPr>
        <w:pStyle w:val="ListBullet"/>
        <w:spacing w:line="276" w:lineRule="auto" w:before="40" w:after="80"/>
        <w:ind w:left="720" w:hanging="360"/>
      </w:pPr>
      <w:r/>
      <w:r>
        <w:rPr>
          <w:b/>
        </w:rPr>
        <w:t>Dark personalities are overlapping but distinct.</w:t>
      </w:r>
      <w:r>
        <w:t xml:space="preserve"> Psychopathy combines superficial charm and manipulation with shallow emotion, low remorse, impulsivity, and rule-breaking; Machiavellianism emphasizes strategic manipulation and power; narcissism centers on entitlement, self-focus, and exploitation; sadism involves pleasure in another’s suffering. Elevated traits do not automatically imply violence or a clinical disorder.</w:t>
      </w:r>
      <w:r/>
    </w:p>
    <w:p>
      <w:pPr>
        <w:pStyle w:val="ListBullet"/>
        <w:spacing w:line="276" w:lineRule="auto" w:before="40" w:after="80"/>
        <w:ind w:left="720" w:hanging="360"/>
      </w:pPr>
      <w:r/>
      <w:r>
        <w:rPr>
          <w:b/>
        </w:rPr>
        <w:t>Origins reflect both disposition and environment.</w:t>
      </w:r>
      <w:r>
        <w:t xml:space="preserve"> Ten Brinke describes variation in psychopathy and narcissism as roughly half genetic and half environmental. Abuse and cold, unresponsive parenting are reported risk factors, while child overvaluation—telling children they are superior to others—has been associated with later narcissism; warm, responsive care supports self-esteem without teaching superiority.</w:t>
      </w:r>
      <w:r/>
    </w:p>
    <w:p>
      <w:pPr>
        <w:pStyle w:val="ListBullet"/>
        <w:spacing w:line="276" w:lineRule="auto" w:before="40" w:after="80"/>
        <w:ind w:left="720" w:hanging="360"/>
      </w:pPr>
      <w:r/>
      <w:r>
        <w:rPr>
          <w:b/>
        </w:rPr>
        <w:t>Dark traits do not reliably produce durable success.</w:t>
      </w:r>
      <w:r>
        <w:t xml:space="preserve"> Ten Brinke reports finding that psychopathic traits predicted less influence in government and lower earnings among hedge-fund managers. Narcissism and Machiavellianism may sometimes help people rise or earn more, but confident self-presentation can be mistaken for competence, and bullying, stress, division, turnover, and weak team outcomes often emerge later.</w:t>
      </w:r>
      <w:r/>
    </w:p>
    <w:p>
      <w:pPr>
        <w:pStyle w:val="ListBullet"/>
        <w:spacing w:line="276" w:lineRule="auto" w:before="40" w:after="80"/>
        <w:ind w:left="720" w:hanging="360"/>
      </w:pPr>
      <w:r/>
      <w:r>
        <w:rPr>
          <w:b/>
        </w:rPr>
        <w:t>Management is more realistic than conversion.</w:t>
      </w:r>
      <w:r>
        <w:t xml:space="preserve"> Some cognitive behavioral treatment can reduce recidivism among incarcerated people with psychopathic traits, and repeated “agreeableness challenges” have been associated with lower self-reported dark traits after four months. Still, motivation is often weak, personality is enduring, and the source warns against waiting for a harmful person to become fundamentally different.</w:t>
      </w:r>
      <w:r/>
      <w:r/>
    </w:p>
    <w:p>
      <w:pPr>
        <w:pStyle w:val="Heading2"/>
        <w:spacing w:before="280" w:after="120"/>
      </w:pPr>
      <w:r>
        <w:t>Key Facts &amp; Figures</w:t>
      </w:r>
      <w:r/>
      <w:r/>
    </w:p>
    <w:p>
      <w:pPr>
        <w:pStyle w:val="ListBullet"/>
        <w:spacing w:line="276" w:lineRule="auto" w:before="40" w:after="80"/>
        <w:ind w:left="720" w:hanging="360"/>
      </w:pPr>
      <w:r/>
      <w:r>
        <w:rPr>
          <w:b/>
        </w:rPr>
        <w:t>Five seconds:</w:t>
      </w:r>
      <w:r>
        <w:t xml:space="preserve"> In the Lilienfeld research described, observers could extract a modest but meaningful signal about psychopathic traits from only five seconds of interview footage.</w:t>
      </w:r>
      <w:r/>
    </w:p>
    <w:p>
      <w:pPr>
        <w:pStyle w:val="ListBullet"/>
        <w:spacing w:line="276" w:lineRule="auto" w:before="40" w:after="80"/>
        <w:ind w:left="720" w:hanging="360"/>
      </w:pPr>
      <w:r/>
      <w:r>
        <w:rPr>
          <w:b/>
        </w:rPr>
        <w:t>54% lie-detection accuracy:</w:t>
      </w:r>
      <w:r>
        <w:t xml:space="preserve"> Average observers perform only slightly better than chance; with six liars and six truth tellers, a typical person would identify roughly six or seven correctly.</w:t>
      </w:r>
      <w:r/>
    </w:p>
    <w:p>
      <w:pPr>
        <w:pStyle w:val="ListBullet"/>
        <w:spacing w:line="276" w:lineRule="auto" w:before="40" w:after="80"/>
        <w:ind w:left="720" w:hanging="360"/>
      </w:pPr>
      <w:r/>
      <w:r>
        <w:rPr>
          <w:b/>
        </w:rPr>
        <w:t>About 90%, then substantially less:</w:t>
      </w:r>
      <w:r>
        <w:t xml:space="preserve"> Ten Brinke’s original high-stakes deception study achieved about 90% classification accuracy using four cues, but a later replication produced much more modest effects.</w:t>
      </w:r>
      <w:r/>
    </w:p>
    <w:p>
      <w:pPr>
        <w:pStyle w:val="ListBullet"/>
        <w:spacing w:line="276" w:lineRule="auto" w:before="40" w:after="80"/>
        <w:ind w:left="720" w:hanging="360"/>
      </w:pPr>
      <w:r/>
      <w:r>
        <w:rPr>
          <w:b/>
        </w:rPr>
        <w:t>Clinical psychopathy:</w:t>
      </w:r>
      <w:r>
        <w:t xml:space="preserve"> A score of at least 30 out of 40 on the Psychopathy Checklist–Revised was described as the clinical threshold, applying to roughly 1% of the general population.</w:t>
      </w:r>
      <w:r/>
    </w:p>
    <w:p>
      <w:pPr>
        <w:pStyle w:val="ListBullet"/>
        <w:spacing w:line="276" w:lineRule="auto" w:before="40" w:after="80"/>
        <w:ind w:left="720" w:hanging="360"/>
      </w:pPr>
      <w:r/>
      <w:r>
        <w:rPr>
          <w:b/>
        </w:rPr>
        <w:t>Narcissistic personality disorder:</w:t>
      </w:r>
      <w:r>
        <w:t xml:space="preserve"> Ten Brinke estimates that diagnosable, extreme narcissism affects approximately 2%–5% of people.</w:t>
      </w:r>
      <w:r/>
    </w:p>
    <w:p>
      <w:pPr>
        <w:pStyle w:val="ListBullet"/>
        <w:spacing w:line="276" w:lineRule="auto" w:before="40" w:after="80"/>
        <w:ind w:left="720" w:hanging="360"/>
      </w:pPr>
      <w:r/>
      <w:r>
        <w:rPr>
          <w:b/>
        </w:rPr>
        <w:t>Elevated dark-trait responses:</w:t>
      </w:r>
      <w:r>
        <w:t xml:space="preserve"> About 10% of respondents, she says, agree on average with questionnaire items used to assess dark traits; this is not equivalent to saying 10% have a clinical disorder.</w:t>
      </w:r>
      <w:r/>
    </w:p>
    <w:p>
      <w:pPr>
        <w:pStyle w:val="ListBullet"/>
        <w:spacing w:line="276" w:lineRule="auto" w:before="40" w:after="80"/>
        <w:ind w:left="720" w:hanging="360"/>
      </w:pPr>
      <w:r/>
      <w:r>
        <w:rPr>
          <w:b/>
        </w:rPr>
        <w:t>Persistence after age 50:</w:t>
      </w:r>
      <w:r>
        <w:t xml:space="preserve"> In a study of more than 1,000 people who had long known someone described as psychopathic, 93% said the person’s behavior was “just as bad or worse” after age 50.</w:t>
      </w:r>
      <w:r/>
    </w:p>
    <w:p>
      <w:pPr>
        <w:pStyle w:val="ListBullet"/>
        <w:spacing w:line="276" w:lineRule="auto" w:before="40" w:after="80"/>
        <w:ind w:left="720" w:hanging="360"/>
      </w:pPr>
      <w:r/>
      <w:r>
        <w:rPr>
          <w:b/>
        </w:rPr>
        <w:t>Disproportionate harm:</w:t>
      </w:r>
      <w:r>
        <w:t xml:space="preserve"> Ten Brinke states that offenders with clinical psychopathy account for about 50% of serious crime, despite clinical psychopathy appearing in about 1% of the general population.</w:t>
      </w:r>
      <w:r/>
      <w:r/>
    </w:p>
    <w:p>
      <w:pPr>
        <w:pStyle w:val="Heading2"/>
        <w:spacing w:before="280" w:after="120"/>
      </w:pPr>
      <w:r>
        <w:t>Insights</w:t>
      </w:r>
      <w:r/>
      <w:r/>
    </w:p>
    <w:p>
      <w:pPr>
        <w:pStyle w:val="ListBullet"/>
        <w:spacing w:line="276" w:lineRule="auto" w:before="40" w:after="80"/>
        <w:ind w:left="720" w:hanging="360"/>
      </w:pPr>
      <w:r/>
      <w:r>
        <w:rPr>
          <w:b/>
        </w:rPr>
        <w:t>Detection is better framed as evidence gathering than mind reading.</w:t>
      </w:r>
      <w:r>
        <w:t xml:space="preserve"> The interview’s most coherent lesson is not that certain people can be visually “spotted,” but that uncertainty can be reduced by eliciting specific, checkable information and observing consistency over time.</w:t>
      </w:r>
      <w:r/>
    </w:p>
    <w:p>
      <w:pPr>
        <w:pStyle w:val="ListBullet"/>
        <w:spacing w:line="276" w:lineRule="auto" w:before="40" w:after="80"/>
        <w:ind w:left="720" w:hanging="360"/>
      </w:pPr>
      <w:r/>
      <w:r>
        <w:rPr>
          <w:b/>
        </w:rPr>
        <w:t>Interaction design may matter more than interpersonal cleverness.</w:t>
      </w:r>
      <w:r>
        <w:t xml:space="preserve"> Written rules, documented negotiations, constrained authority, and incentive structures reduce dependence on whether one individual can accurately diagnose another’s personality.</w:t>
      </w:r>
      <w:r/>
    </w:p>
    <w:p>
      <w:pPr>
        <w:pStyle w:val="ListBullet"/>
        <w:spacing w:line="276" w:lineRule="auto" w:before="40" w:after="80"/>
        <w:ind w:left="720" w:hanging="360"/>
      </w:pPr>
      <w:r/>
      <w:r>
        <w:rPr>
          <w:b/>
        </w:rPr>
        <w:t>Binary labels obscure both risk and fairness.</w:t>
      </w:r>
      <w:r>
        <w:t xml:space="preserve"> Calling someone “a narcissist” after one boastful interaction can pathologize ordinary insecurity or situational self-promotion. Conversely, refusing labels does not require ignoring repeated entitlement, exploitation, cruelty, or boundary violations.</w:t>
      </w:r>
      <w:r/>
    </w:p>
    <w:p>
      <w:pPr>
        <w:pStyle w:val="ListBullet"/>
        <w:spacing w:line="276" w:lineRule="auto" w:before="40" w:after="80"/>
        <w:ind w:left="720" w:hanging="360"/>
      </w:pPr>
      <w:r/>
      <w:r>
        <w:rPr>
          <w:b/>
        </w:rPr>
        <w:t>Charm creates a selection problem in leadership.</w:t>
      </w:r>
      <w:r>
        <w:t xml:space="preserve"> Traits that help candidates win interviews, elections, or early approval may be poorly correlated—or negatively correlated—with the cooperative skills needed for sustained performance. Organizations that overweight confidence can repeatedly promote people whose costs emerge only later.</w:t>
      </w:r>
      <w:r/>
    </w:p>
    <w:p>
      <w:pPr>
        <w:pStyle w:val="ListBullet"/>
        <w:spacing w:line="276" w:lineRule="auto" w:before="40" w:after="80"/>
        <w:ind w:left="720" w:hanging="360"/>
      </w:pPr>
      <w:r/>
      <w:r>
        <w:rPr>
          <w:b/>
        </w:rPr>
        <w:t>The replication caveat is central.</w:t>
      </w:r>
      <w:r>
        <w:t xml:space="preserve"> The drop from approximately 90% accuracy to much smaller effects illustrates why dramatic behavioral “tells” should not be operationalized as proof, especially in policing, employment, or intimate relationships where false accusations carry serious costs.</w:t>
      </w:r>
      <w:r/>
    </w:p>
    <w:p>
      <w:pPr>
        <w:pStyle w:val="ListBullet"/>
        <w:spacing w:line="276" w:lineRule="auto" w:before="40" w:after="80"/>
        <w:ind w:left="720" w:hanging="360"/>
      </w:pPr>
      <w:r/>
      <w:r>
        <w:rPr>
          <w:b/>
        </w:rPr>
        <w:t>Prosocial lies may carry a hidden relational price.</w:t>
      </w:r>
      <w:r>
        <w:t xml:space="preserve"> Even when listeners do not consciously detect deception, reduced disclosure and warmth can weaken reciprocal connection. A lie intended to protect a relationship may therefore create the very distance it was meant to avoid.</w:t>
      </w:r>
      <w:r/>
    </w:p>
    <w:p>
      <w:pPr>
        <w:pStyle w:val="ListBullet"/>
        <w:spacing w:line="276" w:lineRule="auto" w:before="40" w:after="80"/>
        <w:ind w:left="720" w:hanging="360"/>
      </w:pPr>
      <w:r/>
      <w:r>
        <w:rPr>
          <w:b/>
        </w:rPr>
        <w:t>Compassion and self-protection are compatible.</w:t>
      </w:r>
      <w:r>
        <w:t xml:space="preserve"> Genetic and childhood risk factors can explain how harmful traits develop without excusing harmful conduct. Understanding origins may reduce hatred while boundaries and accountability reduce exposure.</w:t>
      </w:r>
      <w:r/>
    </w:p>
    <w:p>
      <w:pPr>
        <w:pStyle w:val="ListBullet"/>
        <w:spacing w:line="276" w:lineRule="auto" w:before="40" w:after="80"/>
        <w:ind w:left="720" w:hanging="360"/>
      </w:pPr>
      <w:r/>
      <w:r>
        <w:rPr>
          <w:b/>
        </w:rPr>
        <w:t>The deepest success claim is moral as well as empirical.</w:t>
      </w:r>
      <w:r>
        <w:t xml:space="preserve"> Ten Brinke rejects the idea that ruthless self-interest is necessary for achievement: even in highly competitive domains, dark traits can undermine influence, earnings, trust, and durable respect.</w:t>
      </w:r>
      <w:r/>
      <w:r/>
    </w:p>
    <w:p>
      <w:pPr>
        <w:pStyle w:val="Heading2"/>
        <w:spacing w:before="280" w:after="120"/>
      </w:pPr>
      <w:r>
        <w:t>Practical Implications</w:t>
      </w:r>
      <w:r/>
    </w:p>
    <w:p>
      <w:r/>
      <w:r>
        <w:rPr>
          <w:b/>
        </w:rPr>
        <w:t>From the source</w:t>
      </w:r>
      <w:r/>
      <w:r/>
    </w:p>
    <w:p>
      <w:pPr>
        <w:pStyle w:val="ListBullet"/>
        <w:spacing w:line="276" w:lineRule="auto" w:before="40" w:after="80"/>
        <w:ind w:left="720" w:hanging="360"/>
      </w:pPr>
      <w:r/>
      <w:r>
        <w:t>Treat a suspicious cue as a reason to investigate, not as proof; look for repeated patterns across situations and time.</w:t>
      </w:r>
      <w:r/>
    </w:p>
    <w:p>
      <w:pPr>
        <w:pStyle w:val="ListBullet"/>
        <w:spacing w:line="276" w:lineRule="auto" w:before="40" w:after="80"/>
        <w:ind w:left="720" w:hanging="360"/>
      </w:pPr>
      <w:r/>
      <w:r>
        <w:t>Ask open-ended and unanticipated questions rather than questions that permit a simple yes or no. “Tell me more about that” is presented as a particularly useful follow-up.</w:t>
      </w:r>
      <w:r/>
    </w:p>
    <w:p>
      <w:pPr>
        <w:pStyle w:val="ListBullet"/>
        <w:spacing w:line="276" w:lineRule="auto" w:before="40" w:after="80"/>
        <w:ind w:left="720" w:hanging="360"/>
      </w:pPr>
      <w:r/>
      <w:r>
        <w:t>Focus on how detailed and independently verifiable an account is, including whether detail suddenly disappears around the disputed part of an otherwise elaborate story.</w:t>
      </w:r>
      <w:r/>
    </w:p>
    <w:p>
      <w:pPr>
        <w:pStyle w:val="ListBullet"/>
        <w:spacing w:line="276" w:lineRule="auto" w:before="40" w:after="80"/>
        <w:ind w:left="720" w:hanging="360"/>
      </w:pPr>
      <w:r/>
      <w:r>
        <w:t>Do not infer deception from eye-contact avoidance or fidgeting, particularly when cultural differences or neurodivergence may explain the behavior.</w:t>
      </w:r>
      <w:r/>
    </w:p>
    <w:p>
      <w:pPr>
        <w:pStyle w:val="ListBullet"/>
        <w:spacing w:line="276" w:lineRule="auto" w:before="40" w:after="80"/>
        <w:ind w:left="720" w:hanging="360"/>
      </w:pPr>
      <w:r/>
      <w:r>
        <w:t>Make personal and workplace boundaries explicit, ideally in writing, and involve a trusted person who can notice when those boundaries begin to slip.</w:t>
      </w:r>
      <w:r/>
    </w:p>
    <w:p>
      <w:pPr>
        <w:pStyle w:val="ListBullet"/>
        <w:spacing w:line="276" w:lineRule="auto" w:before="40" w:after="80"/>
        <w:ind w:left="720" w:hanging="360"/>
      </w:pPr>
      <w:r/>
      <w:r>
        <w:t>Avoid giving highly domineering, exploitative people authority over others; the source links such leadership to employee stress, family spillover, team division, and turnover.</w:t>
      </w:r>
      <w:r/>
    </w:p>
    <w:p>
      <w:pPr>
        <w:pStyle w:val="ListBullet"/>
        <w:spacing w:line="276" w:lineRule="auto" w:before="40" w:after="80"/>
        <w:ind w:left="720" w:hanging="360"/>
      </w:pPr>
      <w:r/>
      <w:r>
        <w:t>Appeal to incentives the person actually values—such as money, status, or goal attainment—rather than assuming empathy, guilt, or punishment will motivate them.</w:t>
      </w:r>
      <w:r/>
    </w:p>
    <w:p>
      <w:pPr>
        <w:pStyle w:val="ListBullet"/>
        <w:spacing w:line="276" w:lineRule="auto" w:before="40" w:after="80"/>
        <w:ind w:left="720" w:hanging="360"/>
      </w:pPr>
      <w:r/>
      <w:r>
        <w:t>Reward genuinely honest, kind, or helpful behavior without rewarding it with greater control over other people.</w:t>
      </w:r>
      <w:r/>
    </w:p>
    <w:p>
      <w:pPr>
        <w:pStyle w:val="ListBullet"/>
        <w:spacing w:line="276" w:lineRule="auto" w:before="40" w:after="80"/>
        <w:ind w:left="720" w:hanging="360"/>
      </w:pPr>
      <w:r/>
      <w:r>
        <w:t>When offering criticism to a domineering or narcissistic person, begin from common identity and frame possible changes as questions rather than direct ego threats.</w:t>
      </w:r>
      <w:r/>
    </w:p>
    <w:p>
      <w:pPr>
        <w:pStyle w:val="ListBullet"/>
        <w:spacing w:line="276" w:lineRule="auto" w:before="40" w:after="80"/>
        <w:ind w:left="720" w:hanging="360"/>
      </w:pPr>
      <w:r/>
      <w:r>
        <w:t>Conduct consequential negotiations by text or in writing when possible. This reduces the advantage of face-to-face charm, creates a record, permits reflection and outside advice, and adds physical distance where safety is a concern.</w:t>
      </w:r>
      <w:r/>
    </w:p>
    <w:p>
      <w:pPr>
        <w:pStyle w:val="ListBullet"/>
        <w:spacing w:line="276" w:lineRule="auto" w:before="40" w:after="80"/>
        <w:ind w:left="720" w:hanging="360"/>
      </w:pPr>
      <w:r/>
      <w:r>
        <w:t>With children showing callous or unemotional traits, emphasize warm, responsive parenting and consistent rewards for kind behavior rather than escalating punishment or giving in after a tantrum intensifies.</w:t>
      </w:r>
      <w:r/>
      <w:r/>
    </w:p>
    <w:p>
      <w:r/>
      <w:r>
        <w:rPr>
          <w:b/>
        </w:rPr>
        <w:t>Analyst implications</w:t>
      </w:r>
      <w:r/>
      <w:r/>
    </w:p>
    <w:p>
      <w:pPr>
        <w:pStyle w:val="ListBullet"/>
        <w:spacing w:line="276" w:lineRule="auto" w:before="40" w:after="80"/>
        <w:ind w:left="720" w:hanging="360"/>
      </w:pPr>
      <w:r/>
      <w:r>
        <w:t>In hiring and promotion, verify claims through work samples, references, and longitudinal feedback rather than treating charisma, certainty, or eagerness to lead as evidence of competence.</w:t>
      </w:r>
      <w:r/>
    </w:p>
    <w:p>
      <w:pPr>
        <w:pStyle w:val="ListBullet"/>
        <w:spacing w:line="276" w:lineRule="auto" w:before="40" w:after="80"/>
        <w:ind w:left="720" w:hanging="360"/>
      </w:pPr>
      <w:r/>
      <w:r>
        <w:t>Build governance for behavior rather than informal defenses against supposedly “bad people”: documented standards, transparent allocation rules, review mechanisms, and limits on unilateral power protect against harmful conduct regardless of diagnosis.</w:t>
      </w:r>
      <w:r/>
    </w:p>
    <w:p>
      <w:pPr>
        <w:pStyle w:val="ListBullet"/>
        <w:spacing w:line="276" w:lineRule="auto" w:before="40" w:after="80"/>
        <w:ind w:left="720" w:hanging="360"/>
      </w:pPr>
      <w:r/>
      <w:r>
        <w:t>Never use facial expressions, hesitation, or sparse detail alone to make high-stakes judgments. Stress, trauma, memory limitations, disability, and fear can imitate many alleged deception cues.</w:t>
      </w:r>
      <w:r/>
    </w:p>
    <w:p>
      <w:pPr>
        <w:pStyle w:val="ListBullet"/>
        <w:spacing w:line="276" w:lineRule="auto" w:before="40" w:after="80"/>
        <w:ind w:left="720" w:hanging="360"/>
      </w:pPr>
      <w:r/>
      <w:r>
        <w:t>If manipulation includes isolation, coercive control, threats, or violence, treat it as a safety problem rather than a communication puzzle; written contact and outside perspectives can help, but professional and legal support may be necessary.</w:t>
      </w:r>
      <w:r/>
    </w:p>
    <w:p>
      <w:pPr>
        <w:pStyle w:val="ListBullet"/>
        <w:spacing w:line="276" w:lineRule="auto" w:before="40" w:after="80"/>
        <w:ind w:left="720" w:hanging="360"/>
      </w:pPr>
      <w:r/>
      <w:r>
        <w:t>Stress-test the source’s prevalence and crime statistics before citing them publicly, because threshold definitions, criminal samples, and measurement choices can substantially affect such estimates.</w:t>
      </w:r>
      <w:r/>
      <w:r/>
    </w:p>
    <w:p>
      <w:pPr>
        <w:pStyle w:val="Heading2"/>
        <w:spacing w:before="280" w:after="120"/>
      </w:pPr>
      <w:r>
        <w:t>References</w:t>
      </w:r>
      <w:r/>
      <w:r/>
    </w:p>
    <w:p>
      <w:pPr>
        <w:pStyle w:val="ListBullet"/>
        <w:spacing w:line="276" w:lineRule="auto" w:before="40" w:after="80"/>
        <w:ind w:left="720" w:hanging="360"/>
      </w:pPr>
      <w:r/>
      <w:r>
        <w:rPr>
          <w:b/>
        </w:rPr>
        <w:t>Leanne ten Brinke:</w:t>
      </w:r>
      <w:r>
        <w:t xml:space="preserve"> Psychologist studying deception, psychopathy, social perception, power, and interpersonal behavior.</w:t>
      </w:r>
      <w:r/>
    </w:p>
    <w:p>
      <w:pPr>
        <w:pStyle w:val="ListBullet"/>
        <w:spacing w:line="276" w:lineRule="auto" w:before="40" w:after="80"/>
        <w:ind w:left="720" w:hanging="360"/>
      </w:pPr>
      <w:r/>
      <w:r>
        <w:rPr>
          <w:b/>
          <w:i/>
        </w:rPr>
        <w:t>Poisonous People: How to Resist Them and Improve Your Life</w:t>
      </w:r>
      <w:r>
        <w:rPr>
          <w:b/>
        </w:rPr>
        <w:t>:</w:t>
      </w:r>
      <w:r>
        <w:t xml:space="preserve"> Ten Brinke’s source-recommended book on recognizing and managing harmful personalities.</w:t>
      </w:r>
      <w:r/>
    </w:p>
    <w:p>
      <w:pPr>
        <w:pStyle w:val="ListBullet"/>
        <w:spacing w:line="276" w:lineRule="auto" w:before="40" w:after="80"/>
        <w:ind w:left="720" w:hanging="360"/>
      </w:pPr>
      <w:r/>
      <w:r>
        <w:rPr>
          <w:b/>
        </w:rPr>
        <w:t>Dark tetrad:</w:t>
      </w:r>
      <w:r>
        <w:t xml:space="preserve"> The framework grouping psychopathy, Machiavellianism, narcissism, and sadism.</w:t>
      </w:r>
      <w:r/>
    </w:p>
    <w:p>
      <w:pPr>
        <w:pStyle w:val="ListBullet"/>
        <w:spacing w:line="276" w:lineRule="auto" w:before="40" w:after="80"/>
        <w:ind w:left="720" w:hanging="360"/>
      </w:pPr>
      <w:r/>
      <w:r>
        <w:rPr>
          <w:b/>
        </w:rPr>
        <w:t>Psychopathy Checklist–Revised (PCL-R):</w:t>
      </w:r>
      <w:r>
        <w:t xml:space="preserve"> Clinical assessment discussed in connection with severe psychopathic traits and its 30-out-of-40 threshold.</w:t>
      </w:r>
      <w:r/>
    </w:p>
    <w:p>
      <w:pPr>
        <w:pStyle w:val="ListBullet"/>
        <w:spacing w:line="276" w:lineRule="auto" w:before="40" w:after="80"/>
        <w:ind w:left="720" w:hanging="360"/>
      </w:pPr>
      <w:r/>
      <w:r>
        <w:rPr>
          <w:b/>
        </w:rPr>
        <w:t>Scott Lilienfeld:</w:t>
      </w:r>
      <w:r>
        <w:t xml:space="preserve"> Researcher associated with the thin-slice studies comparing brief observer judgments with clinical psychopathy assessments.</w:t>
      </w:r>
      <w:r/>
    </w:p>
    <w:p>
      <w:pPr>
        <w:pStyle w:val="ListBullet"/>
        <w:spacing w:line="276" w:lineRule="auto" w:before="40" w:after="80"/>
        <w:ind w:left="720" w:hanging="360"/>
      </w:pPr>
      <w:r/>
      <w:r>
        <w:rPr>
          <w:b/>
        </w:rPr>
        <w:t>Dacher Keltner:</w:t>
      </w:r>
      <w:r>
        <w:t xml:space="preserve"> Collaborator mentioned in connection with psychopathy, power, influence, and social reputation.</w:t>
      </w:r>
      <w:r/>
    </w:p>
    <w:p>
      <w:pPr>
        <w:pStyle w:val="ListBullet"/>
        <w:spacing w:line="276" w:lineRule="auto" w:before="40" w:after="80"/>
        <w:ind w:left="720" w:hanging="360"/>
      </w:pPr>
      <w:r/>
      <w:r>
        <w:rPr>
          <w:b/>
        </w:rPr>
        <w:t>Delroy Paulhus:</w:t>
      </w:r>
      <w:r>
        <w:t xml:space="preserve"> Researcher associated with work showing that narcissistic people can make positive first impressions that deteriorate over repeated interactions.</w:t>
      </w:r>
      <w:r/>
    </w:p>
    <w:p>
      <w:pPr>
        <w:pStyle w:val="ListBullet"/>
        <w:spacing w:line="276" w:lineRule="auto" w:before="40" w:after="80"/>
        <w:ind w:left="720" w:hanging="360"/>
      </w:pPr>
      <w:r/>
      <w:r>
        <w:rPr>
          <w:b/>
        </w:rPr>
        <w:t>Nathan Hudson’s agreeableness challenges:</w:t>
      </w:r>
      <w:r>
        <w:t xml:space="preserve"> Smartphone-prompted prosocial exercises reportedly associated with lower self-reported dark traits after four months.</w:t>
      </w:r>
      <w:r/>
    </w:p>
    <w:p>
      <w:pPr>
        <w:pStyle w:val="ListBullet"/>
        <w:spacing w:line="276" w:lineRule="auto" w:before="40" w:after="80"/>
        <w:ind w:left="720" w:hanging="360"/>
      </w:pPr>
      <w:r/>
      <w:r>
        <w:rPr>
          <w:b/>
        </w:rPr>
        <w:t>Fundamental attribution error:</w:t>
      </w:r>
      <w:r>
        <w:t xml:space="preserve"> The tendency to explain another person’s behavior through personality while underweighting the situation.</w:t>
      </w:r>
      <w:r/>
    </w:p>
    <w:p>
      <w:pPr>
        <w:pStyle w:val="ListBullet"/>
        <w:spacing w:line="276" w:lineRule="auto" w:before="40" w:after="80"/>
        <w:ind w:left="720" w:hanging="360"/>
      </w:pPr>
      <w:r/>
      <w:r>
        <w:rPr>
          <w:b/>
        </w:rPr>
        <w:t>Gaslighting:</w:t>
      </w:r>
      <w:r>
        <w:t xml:space="preserve"> A repeated control pattern that undermines another person’s trust in their perceptions, memories, feelings, or grasp of reality—not merely an ordinary disagreement or isolated lie.</w:t>
      </w:r>
      <w:r/>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line="276" w:lineRule="auto"/>
    </w:pPr>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12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80" w:after="12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80" w:after="12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