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285F6" w14:textId="77777777" w:rsidR="008321BB" w:rsidRDefault="00000000">
      <w:r>
        <w:rPr>
          <w:b/>
          <w:sz w:val="32"/>
        </w:rPr>
        <w:t>Bessent Says the U.S. Can Grow Its Way Out of the Debt Crunch. What Would It Take? - WSJ</w:t>
      </w:r>
    </w:p>
    <w:p w14:paraId="10C9F567" w14:textId="529C2D63" w:rsidR="008321BB" w:rsidRPr="00BF39E9" w:rsidRDefault="00000000">
      <w:pPr>
        <w:rPr>
          <w:bCs/>
        </w:rPr>
      </w:pPr>
      <w:r>
        <w:rPr>
          <w:b/>
        </w:rPr>
        <w:t xml:space="preserve">Source: </w:t>
      </w:r>
      <w:r w:rsidR="00BF39E9" w:rsidRPr="00BF39E9">
        <w:rPr>
          <w:bCs/>
        </w:rPr>
        <w:t>https://www.wsj.com/economy/federal-debt-growth-solution-c2868517</w:t>
      </w:r>
    </w:p>
    <w:p w14:paraId="2ED82B63" w14:textId="77777777" w:rsidR="008321BB" w:rsidRDefault="00000000">
      <w:r>
        <w:rPr>
          <w:b/>
        </w:rPr>
        <w:t xml:space="preserve">Date: </w:t>
      </w:r>
      <w:r>
        <w:t>2026-09-13</w:t>
      </w:r>
    </w:p>
    <w:p w14:paraId="36054CEE" w14:textId="77777777" w:rsidR="008321BB" w:rsidRDefault="00000000">
      <w:r>
        <w:rPr>
          <w:b/>
        </w:rPr>
        <w:t xml:space="preserve">Prompt: </w:t>
      </w:r>
      <w:r>
        <w:t>extract_knowledge.md</w:t>
      </w:r>
    </w:p>
    <w:p w14:paraId="046529BF" w14:textId="77777777" w:rsidR="008321BB" w:rsidRDefault="00000000">
      <w:r>
        <w:rPr>
          <w:b/>
        </w:rPr>
        <w:t xml:space="preserve">Model: </w:t>
      </w:r>
      <w:r>
        <w:t>openai/gpt-5.6-sol</w:t>
      </w:r>
    </w:p>
    <w:p w14:paraId="37FF2B5A" w14:textId="77777777" w:rsidR="008321BB" w:rsidRDefault="00000000">
      <w:r>
        <w:t>---</w:t>
      </w:r>
    </w:p>
    <w:p w14:paraId="532EE08E" w14:textId="77777777" w:rsidR="008321BB" w:rsidRDefault="00000000">
      <w:pPr>
        <w:pStyle w:val="Heading2"/>
      </w:pPr>
      <w:r>
        <w:t>One-Sentence Takeaway</w:t>
      </w:r>
    </w:p>
    <w:p w14:paraId="48697EA7" w14:textId="77777777" w:rsidR="008321BB" w:rsidRDefault="00000000">
      <w:r>
        <w:t>The U.S. could ease its debt burden through unusually strong economic growth, but demographic constraints, rising interest costs, persistent deficits, and politically protected entitlement spending make growth alone unlikely to stabilize the debt-to-GDP ratio.</w:t>
      </w:r>
    </w:p>
    <w:p w14:paraId="122CA90F" w14:textId="77777777" w:rsidR="008321BB" w:rsidRDefault="00000000">
      <w:pPr>
        <w:pStyle w:val="Heading2"/>
      </w:pPr>
      <w:r>
        <w:t>Executive Brief</w:t>
      </w:r>
    </w:p>
    <w:p w14:paraId="565E5680" w14:textId="77777777" w:rsidR="008321BB" w:rsidRDefault="00000000">
      <w:r>
        <w:t>The Wall Street Journal examines Treasury Secretary Scott Bessent’s claim that sustained growth can pull the U.S. out of its worsening debt position.</w:t>
      </w:r>
    </w:p>
    <w:p w14:paraId="7C295339" w14:textId="77777777" w:rsidR="008321BB" w:rsidRDefault="00000000">
      <w:pPr>
        <w:pStyle w:val="ListBullet"/>
        <w:spacing w:before="40" w:after="80"/>
        <w:ind w:left="720"/>
      </w:pPr>
      <w:r>
        <w:t>Publicly held federal debt has reached 100% of GDP, gross debt has exceeded $40 trillion, and annual deficits are running near 6% of GDP.</w:t>
      </w:r>
    </w:p>
    <w:p w14:paraId="586AB308" w14:textId="77777777" w:rsidR="008321BB" w:rsidRDefault="00000000">
      <w:pPr>
        <w:pStyle w:val="ListBullet"/>
        <w:spacing w:before="40" w:after="80"/>
        <w:ind w:left="720"/>
      </w:pPr>
      <w:r>
        <w:t>Bessent argues that roughly 3% real growth—powered by AI, reshored manufacturing, deregulation, and tax cuts—could improve the country’s fiscal position.</w:t>
      </w:r>
    </w:p>
    <w:p w14:paraId="10632788" w14:textId="77777777" w:rsidR="008321BB" w:rsidRDefault="00000000">
      <w:pPr>
        <w:pStyle w:val="ListBullet"/>
        <w:spacing w:before="40" w:after="80"/>
        <w:ind w:left="720"/>
      </w:pPr>
      <w:r>
        <w:t>Forecasters agree that stronger growth would help, but the Penn Wharton Budget Model estimates that stabilizing debt may require average growth of 3.5% to 4% for a decade.</w:t>
      </w:r>
    </w:p>
    <w:p w14:paraId="46F035EB" w14:textId="77777777" w:rsidR="008321BB" w:rsidRDefault="00000000">
      <w:pPr>
        <w:pStyle w:val="ListBullet"/>
        <w:spacing w:before="40" w:after="80"/>
        <w:ind w:left="720"/>
      </w:pPr>
      <w:r>
        <w:t>Sustaining even 3% growth would be historically difficult: the economy has not maintained that rate since the 1990s, and the Congressional Budget Office’s baseline forecast is 1.8%.</w:t>
      </w:r>
    </w:p>
    <w:p w14:paraId="085143FA" w14:textId="77777777" w:rsidR="008321BB" w:rsidRDefault="00000000">
      <w:pPr>
        <w:pStyle w:val="ListBullet"/>
        <w:spacing w:before="40" w:after="80"/>
        <w:ind w:left="720"/>
      </w:pPr>
      <w:r>
        <w:t>Demographic aging sharply limits labor-force growth, leaving productivity—especially possible AI-driven gains—as the main plausible route to faster expansion.</w:t>
      </w:r>
    </w:p>
    <w:p w14:paraId="30A98BDD" w14:textId="77777777" w:rsidR="008321BB" w:rsidRDefault="00000000">
      <w:pPr>
        <w:pStyle w:val="ListBullet"/>
        <w:spacing w:before="40" w:after="80"/>
        <w:ind w:left="720"/>
      </w:pPr>
      <w:r>
        <w:t>Higher productivity would generate more tax revenue, but also potentially higher interest rates, larger wage-linked Social Security benefits, and disruption-related public spending.</w:t>
      </w:r>
    </w:p>
    <w:p w14:paraId="7367600B" w14:textId="77777777" w:rsidR="008321BB" w:rsidRDefault="00000000">
      <w:pPr>
        <w:pStyle w:val="ListBullet"/>
        <w:spacing w:before="40" w:after="80"/>
        <w:ind w:left="720"/>
      </w:pPr>
      <w:r>
        <w:t>Economists cited by the Journal argue that growth must be combined with tax or spending changes, particularly reforms addressing Social Security and Medicare, to stop debt from continuing to rise.</w:t>
      </w:r>
    </w:p>
    <w:p w14:paraId="5FDC8021" w14:textId="77777777" w:rsidR="008321BB" w:rsidRDefault="00000000">
      <w:pPr>
        <w:pStyle w:val="Heading2"/>
      </w:pPr>
      <w:r>
        <w:t>Core Argument</w:t>
      </w:r>
    </w:p>
    <w:p w14:paraId="292C4ED3" w14:textId="77777777" w:rsidR="008321BB" w:rsidRDefault="00000000">
      <w:r>
        <w:rPr>
          <w:b/>
        </w:rPr>
        <w:t>Central thesis or narrative:</w:t>
      </w:r>
      <w:r>
        <w:t xml:space="preserve"> Bessent’s growth strategy is mathematically plausible but economically and politically incomplete. Faster productivity growth could materially reduce future debt relative to the </w:t>
      </w:r>
      <w:r>
        <w:lastRenderedPageBreak/>
        <w:t>economy, yet current projections indicate that debt would still rise unless lawmakers also narrow the structural gap between federal revenue and spending.</w:t>
      </w:r>
    </w:p>
    <w:p w14:paraId="23D8D084" w14:textId="77777777" w:rsidR="008321BB" w:rsidRDefault="00000000">
      <w:r>
        <w:rPr>
          <w:b/>
        </w:rPr>
        <w:t>Reasoning, evidence &amp; mechanisms</w:t>
      </w:r>
    </w:p>
    <w:p w14:paraId="4FC425F4" w14:textId="77777777" w:rsidR="008321BB" w:rsidRDefault="00000000">
      <w:pPr>
        <w:pStyle w:val="ListBullet"/>
        <w:spacing w:before="40" w:after="80"/>
        <w:ind w:left="720"/>
      </w:pPr>
      <w:r>
        <w:rPr>
          <w:b/>
        </w:rPr>
        <w:t>Growth changes the denominator and the revenue base:</w:t>
      </w:r>
      <w:r>
        <w:t xml:space="preserve"> A larger economy makes a given stock of debt more manageable and raises tax receipts without requiring higher statutory tax rates.</w:t>
      </w:r>
    </w:p>
    <w:p w14:paraId="32F0DEDA" w14:textId="77777777" w:rsidR="008321BB" w:rsidRDefault="00000000">
      <w:pPr>
        <w:pStyle w:val="ListBullet"/>
        <w:spacing w:before="40" w:after="80"/>
        <w:ind w:left="720"/>
      </w:pPr>
      <w:r>
        <w:rPr>
          <w:b/>
        </w:rPr>
        <w:t>The required performance is exceptional:</w:t>
      </w:r>
      <w:r>
        <w:t xml:space="preserve"> The U.S. has grown at a 1.9% annual rate during the second Trump administration, according to the article, and has achieved at least 3% calendar-year growth only five times in the past 20 years. Sustained 3% growth has not occurred since the 1990s.</w:t>
      </w:r>
    </w:p>
    <w:p w14:paraId="5DA22989" w14:textId="77777777" w:rsidR="008321BB" w:rsidRDefault="00000000">
      <w:pPr>
        <w:pStyle w:val="ListBullet"/>
        <w:spacing w:before="40" w:after="80"/>
        <w:ind w:left="720"/>
      </w:pPr>
      <w:r>
        <w:rPr>
          <w:b/>
        </w:rPr>
        <w:t>The 1990s are difficult to reproduce:</w:t>
      </w:r>
      <w:r>
        <w:t xml:space="preserve"> That period combined computer-driven productivity gains, rapid growth in the working-age population, supportive fiscal conditions, and relative peace. Today, the population is older, labor-force growth is much slower, spending pressures are greater, and debt starts from a far higher level.</w:t>
      </w:r>
    </w:p>
    <w:p w14:paraId="31204C87" w14:textId="77777777" w:rsidR="008321BB" w:rsidRDefault="00000000">
      <w:pPr>
        <w:pStyle w:val="ListBullet"/>
        <w:spacing w:before="40" w:after="80"/>
        <w:ind w:left="720"/>
      </w:pPr>
      <w:r>
        <w:rPr>
          <w:b/>
        </w:rPr>
        <w:t>Productivity gains are partly offset fiscally:</w:t>
      </w:r>
      <w:r>
        <w:t xml:space="preserve"> Higher productivity increases incomes and tax collections, but can also lift interest rates and debt-service costs. Rising wages increase future Social Security benefits, while AI gains concentrated in capital may be taxed less heavily than gains flowing to workers.</w:t>
      </w:r>
    </w:p>
    <w:p w14:paraId="3F24B621" w14:textId="77777777" w:rsidR="008321BB" w:rsidRDefault="00000000">
      <w:pPr>
        <w:pStyle w:val="ListBullet"/>
        <w:spacing w:before="40" w:after="80"/>
        <w:ind w:left="720"/>
      </w:pPr>
      <w:r>
        <w:rPr>
          <w:b/>
        </w:rPr>
        <w:t>AI is promising but not a clean fiscal solution:</w:t>
      </w:r>
      <w:r>
        <w:t xml:space="preserve"> Rapid AI adoption could raise output and reduce deficits, yet Yale Budget Lab modeling still leaves debt rising as a share of GDP. Large-scale labor displacement could also increase unemployment-related spending and create pressure for additional government intervention.</w:t>
      </w:r>
    </w:p>
    <w:p w14:paraId="7E6BD6B8" w14:textId="77777777" w:rsidR="008321BB" w:rsidRDefault="00000000">
      <w:pPr>
        <w:pStyle w:val="ListBullet"/>
        <w:spacing w:before="40" w:after="80"/>
        <w:ind w:left="720"/>
      </w:pPr>
      <w:r>
        <w:rPr>
          <w:b/>
        </w:rPr>
        <w:t>Policy choices complicate the growth narrative:</w:t>
      </w:r>
      <w:r>
        <w:t xml:space="preserve"> Tariffs, antifraud enforcement, workforce cuts, and selected spending reductions may lower deficits, but tax cuts, border spending, proposed postelection checks, and higher military spending add fiscal pressure. Economists cited in the article also contend that trade conflict, the Iran war, and policy volatility can suppress growth.</w:t>
      </w:r>
    </w:p>
    <w:p w14:paraId="0A193CAB" w14:textId="77777777" w:rsidR="008321BB" w:rsidRDefault="00000000">
      <w:pPr>
        <w:pStyle w:val="ListBullet"/>
        <w:spacing w:before="40" w:after="80"/>
        <w:ind w:left="720"/>
      </w:pPr>
      <w:r>
        <w:rPr>
          <w:b/>
        </w:rPr>
        <w:t>The strongest limitation is structural spending:</w:t>
      </w:r>
      <w:r>
        <w:t xml:space="preserve"> Social Security and Medicare are identified as the major long-term deficit drivers. Because President Trump has ruled out benefit cuts, and because Congress has paired spending reductions with tax cuts, the underlying debt path has remained largely unchanged.</w:t>
      </w:r>
    </w:p>
    <w:p w14:paraId="05392E49" w14:textId="77777777" w:rsidR="008321BB" w:rsidRDefault="00000000">
      <w:pPr>
        <w:pStyle w:val="Heading2"/>
      </w:pPr>
      <w:r>
        <w:t>Timeline</w:t>
      </w:r>
    </w:p>
    <w:p w14:paraId="7DB168E7" w14:textId="77777777" w:rsidR="008321BB" w:rsidRDefault="00000000">
      <w:pPr>
        <w:pStyle w:val="ListBullet"/>
        <w:spacing w:before="40" w:after="80"/>
        <w:ind w:left="720"/>
      </w:pPr>
      <w:r>
        <w:rPr>
          <w:b/>
        </w:rPr>
        <w:t>1995–2001:</w:t>
      </w:r>
      <w:r>
        <w:t xml:space="preserve"> Strong productivity and labor-force growth, together with favorable fiscal conditions, helped reduce federal debt from 48% to 32% of GDP.</w:t>
      </w:r>
    </w:p>
    <w:p w14:paraId="1A126393" w14:textId="77777777" w:rsidR="008321BB" w:rsidRDefault="00000000">
      <w:pPr>
        <w:pStyle w:val="ListBullet"/>
        <w:spacing w:before="40" w:after="80"/>
        <w:ind w:left="720"/>
      </w:pPr>
      <w:r>
        <w:rPr>
          <w:b/>
        </w:rPr>
        <w:t>Early 2000s onward:</w:t>
      </w:r>
      <w:r>
        <w:t xml:space="preserve"> Productivity slowed, baby boomers began retiring, taxes were cut, and age-related and policy-driven spending increased.</w:t>
      </w:r>
    </w:p>
    <w:p w14:paraId="4E82C968" w14:textId="77777777" w:rsidR="008321BB" w:rsidRDefault="00000000">
      <w:pPr>
        <w:pStyle w:val="ListBullet"/>
        <w:spacing w:before="40" w:after="80"/>
        <w:ind w:left="720"/>
      </w:pPr>
      <w:r>
        <w:rPr>
          <w:b/>
        </w:rPr>
        <w:t>2001–2020:</w:t>
      </w:r>
      <w:r>
        <w:t xml:space="preserve"> The Sept. 11 attacks, the 2008 financial crisis, and the pandemic interrupted growth and prompted major federal spending responses.</w:t>
      </w:r>
    </w:p>
    <w:p w14:paraId="0A756DCE" w14:textId="77777777" w:rsidR="008321BB" w:rsidRDefault="00000000">
      <w:pPr>
        <w:pStyle w:val="ListBullet"/>
        <w:spacing w:before="40" w:after="80"/>
        <w:ind w:left="720"/>
      </w:pPr>
      <w:r>
        <w:rPr>
          <w:b/>
        </w:rPr>
        <w:t>2023:</w:t>
      </w:r>
      <w:r>
        <w:t xml:space="preserve"> GDP last exceeded 3% on a fourth-quarter-to-fourth-quarter basis, underscoring how uncommon that growth rate has become.</w:t>
      </w:r>
    </w:p>
    <w:p w14:paraId="56023534" w14:textId="77777777" w:rsidR="008321BB" w:rsidRDefault="00000000">
      <w:pPr>
        <w:pStyle w:val="ListBullet"/>
        <w:spacing w:before="40" w:after="80"/>
        <w:ind w:left="720"/>
      </w:pPr>
      <w:r>
        <w:rPr>
          <w:b/>
        </w:rPr>
        <w:lastRenderedPageBreak/>
        <w:t>Current position described by the article:</w:t>
      </w:r>
      <w:r>
        <w:t xml:space="preserve"> Publicly held debt reached 100% of GDP, gross debt passed $40 trillion, and deficits remained around 6% of GDP.</w:t>
      </w:r>
    </w:p>
    <w:p w14:paraId="2DBFDCAA" w14:textId="77777777" w:rsidR="008321BB" w:rsidRDefault="00000000">
      <w:pPr>
        <w:pStyle w:val="ListBullet"/>
        <w:spacing w:before="40" w:after="80"/>
        <w:ind w:left="720"/>
      </w:pPr>
      <w:r>
        <w:rPr>
          <w:b/>
        </w:rPr>
        <w:t>By 2030:</w:t>
      </w:r>
      <w:r>
        <w:t xml:space="preserve"> Debt-to-GDP is projected to exceed the post-World War II record of 106%.</w:t>
      </w:r>
    </w:p>
    <w:p w14:paraId="34813841" w14:textId="77777777" w:rsidR="008321BB" w:rsidRDefault="00000000">
      <w:pPr>
        <w:pStyle w:val="ListBullet"/>
        <w:spacing w:before="40" w:after="80"/>
        <w:ind w:left="720"/>
      </w:pPr>
      <w:r>
        <w:rPr>
          <w:b/>
        </w:rPr>
        <w:t>By 2035:</w:t>
      </w:r>
      <w:r>
        <w:t xml:space="preserve"> Both the Yale Budget Lab baseline and fast-AI-adoption scenario show debt continuing to rise relative to GDP, although faster AI adoption produces a lower path.</w:t>
      </w:r>
    </w:p>
    <w:p w14:paraId="5C57EEED" w14:textId="77777777" w:rsidR="008321BB" w:rsidRDefault="00000000">
      <w:pPr>
        <w:pStyle w:val="Heading2"/>
      </w:pPr>
      <w:r>
        <w:t>Key Facts &amp; Figures</w:t>
      </w:r>
    </w:p>
    <w:p w14:paraId="3475E7B8" w14:textId="77777777" w:rsidR="008321BB" w:rsidRDefault="00000000">
      <w:pPr>
        <w:pStyle w:val="ListBullet"/>
        <w:spacing w:before="40" w:after="80"/>
        <w:ind w:left="720"/>
      </w:pPr>
      <w:r>
        <w:rPr>
          <w:b/>
        </w:rPr>
        <w:t>Growth needed for stabilization:</w:t>
      </w:r>
      <w:r>
        <w:t xml:space="preserve"> Penn Wharton estimates that average real growth of roughly </w:t>
      </w:r>
      <w:r>
        <w:rPr>
          <w:b/>
        </w:rPr>
        <w:t>3.5% to 4% over a decade</w:t>
      </w:r>
      <w:r>
        <w:t xml:space="preserve"> would stabilize debt relative to GDP.</w:t>
      </w:r>
    </w:p>
    <w:p w14:paraId="2A474DB8" w14:textId="77777777" w:rsidR="008321BB" w:rsidRDefault="00000000">
      <w:pPr>
        <w:pStyle w:val="ListBullet"/>
        <w:spacing w:before="40" w:after="80"/>
        <w:ind w:left="720"/>
      </w:pPr>
      <w:r>
        <w:rPr>
          <w:b/>
        </w:rPr>
        <w:t>Scale of compounding:</w:t>
      </w:r>
      <w:r>
        <w:t xml:space="preserve"> At sustained 3% growth, the economy would be about </w:t>
      </w:r>
      <w:r>
        <w:rPr>
          <w:b/>
        </w:rPr>
        <w:t>34% larger after 10 years</w:t>
      </w:r>
      <w:r>
        <w:t xml:space="preserve">, compared with roughly </w:t>
      </w:r>
      <w:r>
        <w:rPr>
          <w:b/>
        </w:rPr>
        <w:t>20% larger</w:t>
      </w:r>
      <w:r>
        <w:t xml:space="preserve"> under the CBO’s 1.8% baseline.</w:t>
      </w:r>
    </w:p>
    <w:p w14:paraId="0C7D5773" w14:textId="77777777" w:rsidR="008321BB" w:rsidRDefault="00000000">
      <w:pPr>
        <w:pStyle w:val="ListBullet"/>
        <w:spacing w:before="40" w:after="80"/>
        <w:ind w:left="720"/>
      </w:pPr>
      <w:r>
        <w:rPr>
          <w:b/>
        </w:rPr>
        <w:t>Working-age population constraint:</w:t>
      </w:r>
      <w:r>
        <w:t xml:space="preserve"> The CBO projects the population aged 25 to 64 to grow only </w:t>
      </w:r>
      <w:r>
        <w:rPr>
          <w:b/>
        </w:rPr>
        <w:t>3% in total over the next decade</w:t>
      </w:r>
      <w:r>
        <w:t xml:space="preserve">, or about </w:t>
      </w:r>
      <w:r>
        <w:rPr>
          <w:b/>
        </w:rPr>
        <w:t>0.3% annually</w:t>
      </w:r>
      <w:r>
        <w:t xml:space="preserve">, versus </w:t>
      </w:r>
      <w:r>
        <w:rPr>
          <w:b/>
        </w:rPr>
        <w:t>1.1% annually</w:t>
      </w:r>
      <w:r>
        <w:t xml:space="preserve"> in the 1990s.</w:t>
      </w:r>
    </w:p>
    <w:p w14:paraId="3F9094D1" w14:textId="77777777" w:rsidR="008321BB" w:rsidRDefault="00000000">
      <w:pPr>
        <w:pStyle w:val="ListBullet"/>
        <w:spacing w:before="40" w:after="80"/>
        <w:ind w:left="720"/>
      </w:pPr>
      <w:r>
        <w:rPr>
          <w:b/>
        </w:rPr>
        <w:t>Productivity scenario:</w:t>
      </w:r>
      <w:r>
        <w:t xml:space="preserve"> Adding 0.5 percentage point of annual productivity growth to CBO assumptions would lift overall GDP growth to approximately </w:t>
      </w:r>
      <w:r>
        <w:rPr>
          <w:b/>
        </w:rPr>
        <w:t>2.4%</w:t>
      </w:r>
      <w:r>
        <w:t>.</w:t>
      </w:r>
    </w:p>
    <w:p w14:paraId="28A9FF0D" w14:textId="77777777" w:rsidR="008321BB" w:rsidRDefault="00000000">
      <w:pPr>
        <w:pStyle w:val="ListBullet"/>
        <w:spacing w:before="40" w:after="80"/>
        <w:ind w:left="720"/>
      </w:pPr>
      <w:r>
        <w:rPr>
          <w:b/>
        </w:rPr>
        <w:t>Debt outcome under stronger productivity:</w:t>
      </w:r>
      <w:r>
        <w:t xml:space="preserve"> That productivity boost would leave debt at about </w:t>
      </w:r>
      <w:r>
        <w:rPr>
          <w:b/>
        </w:rPr>
        <w:t>109% of GDP after 10 years</w:t>
      </w:r>
      <w:r>
        <w:t xml:space="preserve">, rather than the </w:t>
      </w:r>
      <w:r>
        <w:rPr>
          <w:b/>
        </w:rPr>
        <w:t>120% baseline</w:t>
      </w:r>
      <w:r>
        <w:t>, but debt would still be increasing.</w:t>
      </w:r>
    </w:p>
    <w:p w14:paraId="1CAA697F" w14:textId="77777777" w:rsidR="008321BB" w:rsidRDefault="00000000">
      <w:pPr>
        <w:pStyle w:val="ListBullet"/>
        <w:spacing w:before="40" w:after="80"/>
        <w:ind w:left="720"/>
      </w:pPr>
      <w:r>
        <w:rPr>
          <w:b/>
        </w:rPr>
        <w:t>Interest-cost offset:</w:t>
      </w:r>
      <w:r>
        <w:t xml:space="preserve"> Under the CBO scenario described, higher debt-service costs would absorb </w:t>
      </w:r>
      <w:r>
        <w:rPr>
          <w:b/>
        </w:rPr>
        <w:t>more than one-third of the additional federal revenue</w:t>
      </w:r>
      <w:r>
        <w:t xml:space="preserve"> created by faster growth.</w:t>
      </w:r>
    </w:p>
    <w:p w14:paraId="509DE376" w14:textId="77777777" w:rsidR="008321BB" w:rsidRDefault="00000000">
      <w:pPr>
        <w:pStyle w:val="ListBullet"/>
        <w:spacing w:before="40" w:after="80"/>
        <w:ind w:left="720"/>
      </w:pPr>
      <w:r>
        <w:rPr>
          <w:b/>
        </w:rPr>
        <w:t>Fiscal imbalance:</w:t>
      </w:r>
      <w:r>
        <w:t xml:space="preserve"> Annual federal deficits are running at approximately </w:t>
      </w:r>
      <w:r>
        <w:rPr>
          <w:b/>
        </w:rPr>
        <w:t>6% of GDP</w:t>
      </w:r>
      <w:r>
        <w:t>, well above historical norms.</w:t>
      </w:r>
    </w:p>
    <w:p w14:paraId="542BF3CB" w14:textId="77777777" w:rsidR="008321BB" w:rsidRDefault="00000000">
      <w:pPr>
        <w:pStyle w:val="Heading2"/>
      </w:pPr>
      <w:r>
        <w:t>Insights</w:t>
      </w:r>
    </w:p>
    <w:p w14:paraId="353488FD" w14:textId="77777777" w:rsidR="008321BB" w:rsidRDefault="00000000">
      <w:pPr>
        <w:pStyle w:val="ListBullet"/>
        <w:spacing w:before="40" w:after="80"/>
        <w:ind w:left="720"/>
      </w:pPr>
      <w:r>
        <w:rPr>
          <w:b/>
        </w:rPr>
        <w:t>“Grow out of it” is better understood as mitigation than resolution.</w:t>
      </w:r>
      <w:r>
        <w:t xml:space="preserve"> The modeled scenarios show that stronger growth can substantially lower debt relative to the baseline without necessarily putting debt on a sustainable trajectory.</w:t>
      </w:r>
    </w:p>
    <w:p w14:paraId="3B782E5F" w14:textId="77777777" w:rsidR="008321BB" w:rsidRDefault="00000000">
      <w:pPr>
        <w:pStyle w:val="ListBullet"/>
        <w:spacing w:before="40" w:after="80"/>
        <w:ind w:left="720"/>
      </w:pPr>
      <w:r>
        <w:rPr>
          <w:b/>
        </w:rPr>
        <w:t>The composition of growth matters almost as much as its rate.</w:t>
      </w:r>
      <w:r>
        <w:t xml:space="preserve"> Labor-income growth produces a different tax yield from capital-heavy AI gains, while growth driven by debt-financed stimulus may worsen the very fiscal problem it is intended to solve.</w:t>
      </w:r>
    </w:p>
    <w:p w14:paraId="0C97D1E6" w14:textId="77777777" w:rsidR="008321BB" w:rsidRDefault="00000000">
      <w:pPr>
        <w:pStyle w:val="ListBullet"/>
        <w:spacing w:before="40" w:after="80"/>
        <w:ind w:left="720"/>
      </w:pPr>
      <w:r>
        <w:rPr>
          <w:b/>
        </w:rPr>
        <w:t>AI creates a fiscal paradox:</w:t>
      </w:r>
      <w:r>
        <w:t xml:space="preserve"> The more transformative it becomes, the more likely it is to raise investment demand and interest rates or cause labor disruption requiring public support. Productivity and budget improvement therefore need not move one-for-one.</w:t>
      </w:r>
    </w:p>
    <w:p w14:paraId="375C20CC" w14:textId="77777777" w:rsidR="008321BB" w:rsidRDefault="00000000">
      <w:pPr>
        <w:pStyle w:val="ListBullet"/>
        <w:spacing w:before="40" w:after="80"/>
        <w:ind w:left="720"/>
      </w:pPr>
      <w:r>
        <w:rPr>
          <w:b/>
        </w:rPr>
        <w:t>Avoiding recessions is an implicit and fragile assumption.</w:t>
      </w:r>
      <w:r>
        <w:t xml:space="preserve"> Averaging 3% over a decade is much harder than reaching 3% briefly, particularly when wars, financial crises, pandemics, or ordinary business cycles can interrupt expansion.</w:t>
      </w:r>
    </w:p>
    <w:p w14:paraId="64630D72" w14:textId="77777777" w:rsidR="008321BB" w:rsidRDefault="00000000">
      <w:pPr>
        <w:pStyle w:val="ListBullet"/>
        <w:spacing w:before="40" w:after="80"/>
        <w:ind w:left="720"/>
      </w:pPr>
      <w:r>
        <w:rPr>
          <w:b/>
        </w:rPr>
        <w:t>Reserve-currency status delays consequences rather than removing them.</w:t>
      </w:r>
      <w:r>
        <w:t xml:space="preserve"> The dollar’s global role may allow the U.S. to carry unusually high debt without an immediate crisis, but rising interest costs can still constrain future fiscal policy and expose the Federal Reserve to pressure for inflationary accommodation.</w:t>
      </w:r>
    </w:p>
    <w:p w14:paraId="4707B85D" w14:textId="77777777" w:rsidR="008321BB" w:rsidRDefault="00000000">
      <w:pPr>
        <w:pStyle w:val="ListBullet"/>
        <w:spacing w:before="40" w:after="80"/>
        <w:ind w:left="720"/>
      </w:pPr>
      <w:r>
        <w:rPr>
          <w:b/>
        </w:rPr>
        <w:lastRenderedPageBreak/>
        <w:t>Political incentives favor optimistic growth forecasts.</w:t>
      </w:r>
      <w:r>
        <w:t xml:space="preserve"> Growth allows officials to promise fiscal improvement without specifying tax increases or benefit reductions, whereas actual consolidation creates identifiable losers.</w:t>
      </w:r>
    </w:p>
    <w:p w14:paraId="0E389B7C" w14:textId="77777777" w:rsidR="008321BB" w:rsidRDefault="00000000">
      <w:pPr>
        <w:pStyle w:val="ListBullet"/>
        <w:spacing w:before="40" w:after="80"/>
        <w:ind w:left="720"/>
      </w:pPr>
      <w:r>
        <w:rPr>
          <w:b/>
        </w:rPr>
        <w:t>The key unresolved variable is not whether AI raises productivity, but how quickly, how broadly, and for whom.</w:t>
      </w:r>
      <w:r>
        <w:t xml:space="preserve"> Fiscal benefits will depend on diffusion across the economy, the division of gains between labor and capital, the tax treatment of those gains, and the scale of transitional costs.</w:t>
      </w:r>
    </w:p>
    <w:p w14:paraId="2CB19367" w14:textId="77777777" w:rsidR="008321BB" w:rsidRDefault="00000000">
      <w:pPr>
        <w:pStyle w:val="Heading2"/>
      </w:pPr>
      <w:r>
        <w:t>Practical Implications</w:t>
      </w:r>
    </w:p>
    <w:p w14:paraId="3370A877" w14:textId="77777777" w:rsidR="008321BB" w:rsidRDefault="00000000">
      <w:r>
        <w:rPr>
          <w:b/>
        </w:rPr>
        <w:t>From the source</w:t>
      </w:r>
    </w:p>
    <w:p w14:paraId="03FBB31A" w14:textId="77777777" w:rsidR="008321BB" w:rsidRDefault="00000000">
      <w:pPr>
        <w:pStyle w:val="ListBullet"/>
        <w:spacing w:before="40" w:after="80"/>
        <w:ind w:left="720"/>
      </w:pPr>
      <w:r>
        <w:t>Treat debt-to-GDP projections as sensitive to several interacting assumptions: productivity, labor-force growth, interest rates, tax incidence, entitlement formulas, and recession risk.</w:t>
      </w:r>
    </w:p>
    <w:p w14:paraId="6A12A610" w14:textId="77777777" w:rsidR="008321BB" w:rsidRDefault="00000000">
      <w:pPr>
        <w:pStyle w:val="ListBullet"/>
        <w:spacing w:before="40" w:after="80"/>
        <w:ind w:left="720"/>
      </w:pPr>
      <w:r>
        <w:t>Evaluate tax cuts by type rather than assuming all produce equivalent growth; accelerated write-offs for equipment and factory construction may have stronger investment effects than broad cuts for workers.</w:t>
      </w:r>
    </w:p>
    <w:p w14:paraId="6879A7CD" w14:textId="77777777" w:rsidR="008321BB" w:rsidRDefault="00000000">
      <w:pPr>
        <w:pStyle w:val="ListBullet"/>
        <w:spacing w:before="40" w:after="80"/>
        <w:ind w:left="720"/>
      </w:pPr>
      <w:r>
        <w:t>Pair growth-oriented policy with revenue increases or spending restraint if the goal is to stabilize debt rather than merely slow its rise.</w:t>
      </w:r>
    </w:p>
    <w:p w14:paraId="1E274435" w14:textId="77777777" w:rsidR="008321BB" w:rsidRDefault="00000000">
      <w:pPr>
        <w:pStyle w:val="ListBullet"/>
        <w:spacing w:before="40" w:after="80"/>
        <w:ind w:left="720"/>
      </w:pPr>
      <w:r>
        <w:t>Focus fiscal reform discussions on Social Security and Medicare, which the article identifies as the central long-term spending pressures.</w:t>
      </w:r>
    </w:p>
    <w:p w14:paraId="63706BD6" w14:textId="77777777" w:rsidR="008321BB" w:rsidRDefault="00000000">
      <w:r>
        <w:rPr>
          <w:b/>
        </w:rPr>
        <w:t>Analyst implications</w:t>
      </w:r>
    </w:p>
    <w:p w14:paraId="6AE5CEA0" w14:textId="77777777" w:rsidR="008321BB" w:rsidRDefault="00000000">
      <w:pPr>
        <w:pStyle w:val="ListBullet"/>
        <w:spacing w:before="40" w:after="80"/>
        <w:ind w:left="720"/>
      </w:pPr>
      <w:r>
        <w:t>Stress-test fiscal proposals under growth rates below 3%, at least one recession, and higher borrowing costs rather than relying only on an uninterrupted expansion scenario.</w:t>
      </w:r>
    </w:p>
    <w:p w14:paraId="0D34C0D2" w14:textId="77777777" w:rsidR="008321BB" w:rsidRDefault="00000000">
      <w:pPr>
        <w:pStyle w:val="ListBullet"/>
        <w:spacing w:before="40" w:after="80"/>
        <w:ind w:left="720"/>
      </w:pPr>
      <w:r>
        <w:t>Monitor whether AI productivity gains appear in measured output and wages, not merely in investment spending, valuations, or firm-level demonstrations.</w:t>
      </w:r>
    </w:p>
    <w:p w14:paraId="3BD5F2F5" w14:textId="77777777" w:rsidR="008321BB" w:rsidRDefault="00000000">
      <w:pPr>
        <w:pStyle w:val="ListBullet"/>
        <w:spacing w:before="40" w:after="80"/>
        <w:ind w:left="720"/>
      </w:pPr>
      <w:r>
        <w:t>Distinguish policies that raise productive capacity from those that temporarily raise demand; both can increase headline GDP, but they have different long-term debt effects.</w:t>
      </w:r>
    </w:p>
    <w:p w14:paraId="19D68376" w14:textId="77777777" w:rsidR="008321BB" w:rsidRDefault="00000000">
      <w:pPr>
        <w:pStyle w:val="ListBullet"/>
        <w:spacing w:before="40" w:after="80"/>
        <w:ind w:left="720"/>
      </w:pPr>
      <w:r>
        <w:t>Watch net interest expense and fiscal flexibility alongside the headline debt ratio. A country may avoid a formal debt crisis while still losing room to respond to recessions, wars, or future public-investment needs.</w:t>
      </w:r>
    </w:p>
    <w:p w14:paraId="557E1344" w14:textId="77777777" w:rsidR="008321BB" w:rsidRDefault="00000000">
      <w:pPr>
        <w:pStyle w:val="Heading2"/>
      </w:pPr>
      <w:r>
        <w:t>References</w:t>
      </w:r>
    </w:p>
    <w:p w14:paraId="60B609E4" w14:textId="77777777" w:rsidR="008321BB" w:rsidRDefault="00000000">
      <w:pPr>
        <w:pStyle w:val="ListBullet"/>
        <w:spacing w:before="40" w:after="80"/>
        <w:ind w:left="720"/>
      </w:pPr>
      <w:r>
        <w:rPr>
          <w:b/>
        </w:rPr>
        <w:t>Penn Wharton Budget Model:</w:t>
      </w:r>
      <w:r>
        <w:t xml:space="preserve"> Source of the estimate that 3.5% to 4% average growth over a decade could stabilize the debt-to-GDP ratio.</w:t>
      </w:r>
    </w:p>
    <w:p w14:paraId="42A66923" w14:textId="77777777" w:rsidR="008321BB" w:rsidRDefault="00000000">
      <w:pPr>
        <w:pStyle w:val="ListBullet"/>
        <w:spacing w:before="40" w:after="80"/>
        <w:ind w:left="720"/>
      </w:pPr>
      <w:r>
        <w:rPr>
          <w:b/>
        </w:rPr>
        <w:t>Congressional Budget Office interactive budget tool:</w:t>
      </w:r>
      <w:r>
        <w:t xml:space="preserve"> Used to estimate how productivity growth affects GDP, revenues, Social Security benefits, interest rates, and debt.</w:t>
      </w:r>
    </w:p>
    <w:p w14:paraId="051C407B" w14:textId="77777777" w:rsidR="008321BB" w:rsidRDefault="00000000">
      <w:pPr>
        <w:pStyle w:val="ListBullet"/>
        <w:spacing w:before="40" w:after="80"/>
        <w:ind w:left="720"/>
      </w:pPr>
      <w:r>
        <w:rPr>
          <w:b/>
        </w:rPr>
        <w:t>Yale Budget Lab AI-adoption scenario:</w:t>
      </w:r>
      <w:r>
        <w:t xml:space="preserve"> Models how rapid diffusion of AI into complex white-collar work could affect growth, deficits, and debt through 2035.</w:t>
      </w:r>
    </w:p>
    <w:p w14:paraId="27E25D37" w14:textId="77777777" w:rsidR="008321BB" w:rsidRDefault="00000000">
      <w:pPr>
        <w:pStyle w:val="ListBullet"/>
        <w:spacing w:before="40" w:after="80"/>
        <w:ind w:left="720"/>
      </w:pPr>
      <w:r>
        <w:rPr>
          <w:b/>
        </w:rPr>
        <w:t>Basil Halperin:</w:t>
      </w:r>
      <w:r>
        <w:t xml:space="preserve"> University of Virginia economist cited on how productivity-driven investment demand can raise interest rates.</w:t>
      </w:r>
    </w:p>
    <w:p w14:paraId="321ED91A" w14:textId="77777777" w:rsidR="008321BB" w:rsidRDefault="00000000">
      <w:pPr>
        <w:pStyle w:val="ListBullet"/>
        <w:spacing w:before="40" w:after="80"/>
        <w:ind w:left="720"/>
      </w:pPr>
      <w:r>
        <w:rPr>
          <w:b/>
        </w:rPr>
        <w:lastRenderedPageBreak/>
        <w:t>Douglas Elmendorf:</w:t>
      </w:r>
      <w:r>
        <w:t xml:space="preserve"> Former CBO director cited on the possibility that rapid AI-led productivity growth could also produce costly economic and social disruption.</w:t>
      </w:r>
    </w:p>
    <w:p w14:paraId="647B9748" w14:textId="77777777" w:rsidR="008321BB" w:rsidRDefault="00000000">
      <w:pPr>
        <w:pStyle w:val="ListBullet"/>
        <w:spacing w:before="40" w:after="80"/>
        <w:ind w:left="720"/>
      </w:pPr>
      <w:r>
        <w:rPr>
          <w:b/>
        </w:rPr>
        <w:t>Joshua Rauh:</w:t>
      </w:r>
      <w:r>
        <w:t xml:space="preserve"> Stanford finance professor cited on the central role of Social Security and Medicare in the long-term deficit.</w:t>
      </w:r>
    </w:p>
    <w:p w14:paraId="74678104" w14:textId="77777777" w:rsidR="008321BB" w:rsidRDefault="00000000">
      <w:pPr>
        <w:pStyle w:val="ListBullet"/>
        <w:spacing w:before="40" w:after="80"/>
        <w:ind w:left="720"/>
      </w:pPr>
      <w:r>
        <w:rPr>
          <w:b/>
        </w:rPr>
        <w:t>Debt-to-GDP ratio:</w:t>
      </w:r>
      <w:r>
        <w:t xml:space="preserve"> The article’s principal measure for comparing federal indebtedness with the economy’s capacity to support it.</w:t>
      </w:r>
    </w:p>
    <w:sectPr w:rsidR="008321B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51204261">
    <w:abstractNumId w:val="8"/>
  </w:num>
  <w:num w:numId="2" w16cid:durableId="1262685368">
    <w:abstractNumId w:val="6"/>
  </w:num>
  <w:num w:numId="3" w16cid:durableId="353507763">
    <w:abstractNumId w:val="5"/>
  </w:num>
  <w:num w:numId="4" w16cid:durableId="1476144022">
    <w:abstractNumId w:val="4"/>
  </w:num>
  <w:num w:numId="5" w16cid:durableId="1896627249">
    <w:abstractNumId w:val="7"/>
  </w:num>
  <w:num w:numId="6" w16cid:durableId="504201034">
    <w:abstractNumId w:val="3"/>
  </w:num>
  <w:num w:numId="7" w16cid:durableId="1290090516">
    <w:abstractNumId w:val="2"/>
  </w:num>
  <w:num w:numId="8" w16cid:durableId="570507161">
    <w:abstractNumId w:val="1"/>
  </w:num>
  <w:num w:numId="9" w16cid:durableId="931619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69C2"/>
    <w:rsid w:val="00034616"/>
    <w:rsid w:val="0006063C"/>
    <w:rsid w:val="0015074B"/>
    <w:rsid w:val="0029639D"/>
    <w:rsid w:val="00326F90"/>
    <w:rsid w:val="008321BB"/>
    <w:rsid w:val="00AA1D8D"/>
    <w:rsid w:val="00B47730"/>
    <w:rsid w:val="00BF39E9"/>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2746A4"/>
  <w14:defaultImageDpi w14:val="300"/>
  <w15:docId w15:val="{85ABF6E4-79AE-4F37-8524-CA3E388C5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60"/>
    </w:pPr>
    <w:rPr>
      <w:rFonts w:ascii="Calibri" w:hAnsi="Calibri"/>
    </w:rPr>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80" w:after="12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80" w:after="12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BF39E9"/>
    <w:rPr>
      <w:color w:val="0000FF" w:themeColor="hyperlink"/>
      <w:u w:val="single"/>
    </w:rPr>
  </w:style>
  <w:style w:type="character" w:styleId="UnresolvedMention">
    <w:name w:val="Unresolved Mention"/>
    <w:basedOn w:val="DefaultParagraphFont"/>
    <w:uiPriority w:val="99"/>
    <w:semiHidden/>
    <w:unhideWhenUsed/>
    <w:rsid w:val="00BF39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1612</Words>
  <Characters>9195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10786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Matt Carroll</cp:lastModifiedBy>
  <cp:revision>2</cp:revision>
  <dcterms:created xsi:type="dcterms:W3CDTF">2013-12-23T23:15:00Z</dcterms:created>
  <dcterms:modified xsi:type="dcterms:W3CDTF">2026-09-13T15:11:00Z</dcterms:modified>
  <cp:category/>
</cp:coreProperties>
</file>